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E51FC6" w14:textId="6F6D7FF1" w:rsidR="003175E3" w:rsidRPr="00207615" w:rsidRDefault="003175E3" w:rsidP="003175E3">
      <w:pPr>
        <w:pStyle w:val="Header"/>
        <w:tabs>
          <w:tab w:val="right" w:pos="9630"/>
          <w:tab w:val="right" w:pos="13323"/>
        </w:tabs>
        <w:rPr>
          <w:rFonts w:cs="Arial"/>
          <w:sz w:val="24"/>
          <w:szCs w:val="24"/>
          <w:lang w:eastAsia="ja-JP"/>
        </w:rPr>
      </w:pPr>
      <w:r w:rsidRPr="00207615">
        <w:rPr>
          <w:rFonts w:cs="Arial"/>
          <w:sz w:val="24"/>
          <w:szCs w:val="24"/>
        </w:rPr>
        <w:t>3GPP TSG-RAN WG4 Meeting #</w:t>
      </w:r>
      <w:r w:rsidR="00353542">
        <w:rPr>
          <w:rFonts w:cs="Arial"/>
          <w:sz w:val="24"/>
          <w:szCs w:val="24"/>
        </w:rPr>
        <w:t>9</w:t>
      </w:r>
      <w:r w:rsidR="00BB4BB4">
        <w:rPr>
          <w:rFonts w:cs="Arial"/>
          <w:sz w:val="24"/>
          <w:szCs w:val="24"/>
        </w:rPr>
        <w:t>2</w:t>
      </w:r>
      <w:r w:rsidR="00804DAC">
        <w:rPr>
          <w:rFonts w:cs="Arial"/>
          <w:sz w:val="24"/>
          <w:szCs w:val="24"/>
        </w:rPr>
        <w:t>-Bis</w:t>
      </w:r>
      <w:r w:rsidRPr="00207615">
        <w:rPr>
          <w:rFonts w:cs="Arial"/>
          <w:sz w:val="24"/>
          <w:szCs w:val="24"/>
        </w:rPr>
        <w:tab/>
      </w:r>
      <w:r w:rsidRPr="004E3B8E">
        <w:rPr>
          <w:rFonts w:cs="Arial"/>
          <w:color w:val="000000"/>
          <w:sz w:val="24"/>
          <w:szCs w:val="24"/>
        </w:rPr>
        <w:t>R4-</w:t>
      </w:r>
      <w:r w:rsidR="000412D4">
        <w:rPr>
          <w:rFonts w:cs="Arial"/>
          <w:color w:val="000000"/>
          <w:sz w:val="24"/>
          <w:szCs w:val="24"/>
        </w:rPr>
        <w:t>1</w:t>
      </w:r>
      <w:r w:rsidR="00F131EA">
        <w:rPr>
          <w:rFonts w:cs="Arial"/>
          <w:color w:val="000000"/>
          <w:sz w:val="24"/>
          <w:szCs w:val="24"/>
        </w:rPr>
        <w:t>9</w:t>
      </w:r>
      <w:r w:rsidR="00804DAC">
        <w:rPr>
          <w:rFonts w:cs="Arial"/>
          <w:color w:val="000000"/>
          <w:sz w:val="24"/>
          <w:szCs w:val="24"/>
        </w:rPr>
        <w:t>1</w:t>
      </w:r>
      <w:r w:rsidR="0098369E">
        <w:rPr>
          <w:rFonts w:cs="Arial"/>
          <w:color w:val="000000"/>
          <w:sz w:val="24"/>
          <w:szCs w:val="24"/>
        </w:rPr>
        <w:t>2353</w:t>
      </w:r>
    </w:p>
    <w:p w14:paraId="2700B07E" w14:textId="6CFD1A82" w:rsidR="003175E3" w:rsidRPr="00C51EC1" w:rsidRDefault="00804DAC" w:rsidP="003175E3">
      <w:pPr>
        <w:pStyle w:val="Header"/>
        <w:rPr>
          <w:rFonts w:eastAsia="SimSun"/>
          <w:sz w:val="24"/>
          <w:szCs w:val="24"/>
          <w:lang w:eastAsia="zh-CN"/>
        </w:rPr>
      </w:pPr>
      <w:r>
        <w:rPr>
          <w:rFonts w:eastAsia="SimSun"/>
          <w:sz w:val="24"/>
          <w:szCs w:val="24"/>
          <w:lang w:eastAsia="zh-CN"/>
        </w:rPr>
        <w:t>Chongqing, China</w:t>
      </w:r>
      <w:r w:rsidR="009C5EB9">
        <w:rPr>
          <w:rFonts w:eastAsia="SimSun"/>
          <w:sz w:val="24"/>
          <w:szCs w:val="24"/>
          <w:lang w:eastAsia="zh-CN"/>
        </w:rPr>
        <w:t xml:space="preserve">, </w:t>
      </w:r>
      <w:r>
        <w:rPr>
          <w:rFonts w:eastAsia="SimSun"/>
          <w:sz w:val="24"/>
          <w:szCs w:val="24"/>
          <w:lang w:eastAsia="zh-CN"/>
        </w:rPr>
        <w:t>14 – 18 October</w:t>
      </w:r>
      <w:r w:rsidR="003175E3" w:rsidRPr="002E7CB7">
        <w:rPr>
          <w:rFonts w:eastAsia="SimSun"/>
          <w:sz w:val="24"/>
          <w:szCs w:val="24"/>
          <w:lang w:eastAsia="zh-CN"/>
        </w:rPr>
        <w:t>, 201</w:t>
      </w:r>
      <w:r w:rsidR="00353542">
        <w:rPr>
          <w:rFonts w:eastAsia="SimSun"/>
          <w:sz w:val="24"/>
          <w:szCs w:val="24"/>
          <w:lang w:eastAsia="zh-CN"/>
        </w:rPr>
        <w:t>9</w:t>
      </w:r>
    </w:p>
    <w:p w14:paraId="11E40FD2" w14:textId="77777777" w:rsidR="00070561" w:rsidRPr="008C4D7E" w:rsidRDefault="00070561" w:rsidP="00070561">
      <w:pPr>
        <w:pStyle w:val="Header"/>
        <w:rPr>
          <w:noProof w:val="0"/>
          <w:lang w:val="en-GB"/>
        </w:rPr>
      </w:pPr>
    </w:p>
    <w:p w14:paraId="753F9938" w14:textId="77777777" w:rsidR="00070561" w:rsidRDefault="00070561" w:rsidP="00070561">
      <w:pPr>
        <w:pStyle w:val="Footer"/>
        <w:rPr>
          <w:noProof w:val="0"/>
        </w:rPr>
      </w:pPr>
    </w:p>
    <w:p w14:paraId="6138064B" w14:textId="29E87DCA" w:rsidR="00F43ACD" w:rsidRDefault="00070561" w:rsidP="00070561">
      <w:pPr>
        <w:tabs>
          <w:tab w:val="left" w:pos="1985"/>
        </w:tabs>
        <w:rPr>
          <w:rFonts w:ascii="Arial" w:hAnsi="Arial"/>
          <w:sz w:val="24"/>
          <w:lang w:val="en-US"/>
        </w:rPr>
      </w:pPr>
      <w:r>
        <w:rPr>
          <w:rFonts w:ascii="Arial" w:hAnsi="Arial"/>
          <w:b/>
          <w:sz w:val="24"/>
          <w:lang w:val="en-US"/>
        </w:rPr>
        <w:t>Agenda item:</w:t>
      </w:r>
      <w:r>
        <w:rPr>
          <w:rFonts w:ascii="Arial" w:hAnsi="Arial"/>
          <w:sz w:val="24"/>
          <w:lang w:val="en-US"/>
        </w:rPr>
        <w:tab/>
      </w:r>
      <w:r w:rsidR="0098369E">
        <w:rPr>
          <w:rFonts w:ascii="Arial" w:hAnsi="Arial"/>
          <w:sz w:val="24"/>
          <w:lang w:val="en-US"/>
        </w:rPr>
        <w:t>8.3.2.1</w:t>
      </w:r>
      <w:bookmarkStart w:id="0" w:name="_GoBack"/>
      <w:bookmarkEnd w:id="0"/>
    </w:p>
    <w:p w14:paraId="44E04CDB" w14:textId="77777777" w:rsidR="00070561" w:rsidRDefault="00070561" w:rsidP="00070561">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sidR="005478CC">
        <w:rPr>
          <w:rFonts w:ascii="Arial" w:hAnsi="Arial"/>
          <w:sz w:val="24"/>
          <w:lang w:val="en-US"/>
        </w:rPr>
        <w:t>Qualcomm Incorporated</w:t>
      </w:r>
    </w:p>
    <w:p w14:paraId="6BF1466C" w14:textId="19172224" w:rsidR="0042453D" w:rsidRPr="00F60377" w:rsidRDefault="00F81D31" w:rsidP="00070561">
      <w:pPr>
        <w:tabs>
          <w:tab w:val="left" w:pos="1985"/>
        </w:tabs>
        <w:ind w:left="1980" w:hanging="1980"/>
        <w:rPr>
          <w:rFonts w:ascii="Arial" w:hAnsi="Arial"/>
          <w:sz w:val="24"/>
          <w:lang w:val="en-US"/>
        </w:rPr>
      </w:pPr>
      <w:r>
        <w:rPr>
          <w:rFonts w:ascii="Arial" w:hAnsi="Arial"/>
          <w:b/>
          <w:sz w:val="24"/>
          <w:lang w:val="en-US"/>
        </w:rPr>
        <w:t>T</w:t>
      </w:r>
      <w:r w:rsidR="00070561">
        <w:rPr>
          <w:rFonts w:ascii="Arial" w:hAnsi="Arial"/>
          <w:b/>
          <w:sz w:val="24"/>
          <w:lang w:val="en-US"/>
        </w:rPr>
        <w:t>itle:</w:t>
      </w:r>
      <w:r w:rsidR="00010EE0">
        <w:rPr>
          <w:rFonts w:ascii="Arial" w:hAnsi="Arial"/>
          <w:sz w:val="24"/>
          <w:lang w:val="en-US"/>
        </w:rPr>
        <w:t xml:space="preserve"> </w:t>
      </w:r>
      <w:r w:rsidR="00010EE0">
        <w:rPr>
          <w:rFonts w:ascii="Arial" w:hAnsi="Arial"/>
          <w:sz w:val="24"/>
          <w:lang w:val="en-US"/>
        </w:rPr>
        <w:tab/>
      </w:r>
      <w:r w:rsidR="00BC2B9A">
        <w:rPr>
          <w:rFonts w:ascii="Arial" w:hAnsi="Arial"/>
          <w:sz w:val="24"/>
          <w:lang w:val="en-US"/>
        </w:rPr>
        <w:t xml:space="preserve">On NR enhanced MBB </w:t>
      </w:r>
      <w:r w:rsidR="00757E09">
        <w:rPr>
          <w:rFonts w:ascii="Arial" w:hAnsi="Arial"/>
          <w:sz w:val="24"/>
          <w:lang w:val="en-US"/>
        </w:rPr>
        <w:t xml:space="preserve">HO </w:t>
      </w:r>
      <w:r w:rsidR="00BC2B9A">
        <w:rPr>
          <w:rFonts w:ascii="Arial" w:hAnsi="Arial"/>
          <w:sz w:val="24"/>
          <w:lang w:val="en-US"/>
        </w:rPr>
        <w:t>requirements</w:t>
      </w:r>
    </w:p>
    <w:p w14:paraId="22278769" w14:textId="77777777" w:rsidR="00070561" w:rsidRDefault="00070561" w:rsidP="00070561">
      <w:pPr>
        <w:tabs>
          <w:tab w:val="left" w:pos="1985"/>
        </w:tabs>
        <w:ind w:left="1980" w:hanging="1980"/>
        <w:rPr>
          <w:rFonts w:ascii="Arial" w:hAnsi="Arial"/>
          <w:sz w:val="24"/>
          <w:lang w:val="en-US"/>
        </w:rPr>
      </w:pPr>
      <w:r>
        <w:rPr>
          <w:rFonts w:ascii="Arial" w:hAnsi="Arial"/>
          <w:b/>
          <w:sz w:val="24"/>
          <w:lang w:val="en-US"/>
        </w:rPr>
        <w:t>Document for:</w:t>
      </w:r>
      <w:r w:rsidR="0006427B">
        <w:rPr>
          <w:rFonts w:ascii="Arial" w:hAnsi="Arial"/>
          <w:sz w:val="24"/>
          <w:lang w:val="en-US"/>
        </w:rPr>
        <w:tab/>
      </w:r>
      <w:r w:rsidR="00E205D1">
        <w:rPr>
          <w:rFonts w:ascii="Arial" w:hAnsi="Arial"/>
          <w:sz w:val="24"/>
          <w:lang w:val="en-US"/>
        </w:rPr>
        <w:t>Discussion</w:t>
      </w:r>
    </w:p>
    <w:p w14:paraId="61828974" w14:textId="44EEE2B7" w:rsidR="003A3520" w:rsidRDefault="009046D1" w:rsidP="00017422">
      <w:pPr>
        <w:pStyle w:val="Heading1"/>
        <w:rPr>
          <w:lang w:val="en-US"/>
        </w:rPr>
      </w:pPr>
      <w:r>
        <w:rPr>
          <w:lang w:val="en-US"/>
        </w:rPr>
        <w:t>Introduction</w:t>
      </w:r>
    </w:p>
    <w:p w14:paraId="1B7C5921" w14:textId="0AED466D" w:rsidR="00804DAC" w:rsidRDefault="00757E09" w:rsidP="00804DAC">
      <w:pPr>
        <w:rPr>
          <w:lang w:val="en-US"/>
        </w:rPr>
      </w:pPr>
      <w:r>
        <w:rPr>
          <w:lang w:val="en-US"/>
        </w:rPr>
        <w:t>In the RAN4#92 meeting, a Way Forward on NR mobility enhancement was agreed [1]. On enhanced MBB handover, the following was captured:</w:t>
      </w:r>
    </w:p>
    <w:p w14:paraId="23BCAFFE" w14:textId="4625F63D" w:rsidR="00757E09" w:rsidRDefault="00757E09" w:rsidP="00804DAC">
      <w:pPr>
        <w:rPr>
          <w:lang w:val="en-US"/>
        </w:rPr>
      </w:pPr>
      <w:r w:rsidRPr="0074147F">
        <w:rPr>
          <w:noProof/>
          <w:lang w:val="en-US" w:eastAsia="zh-CN"/>
        </w:rPr>
        <mc:AlternateContent>
          <mc:Choice Requires="wps">
            <w:drawing>
              <wp:inline distT="0" distB="0" distL="0" distR="0" wp14:anchorId="53966744" wp14:editId="1CB0CFF0">
                <wp:extent cx="6078220" cy="2593075"/>
                <wp:effectExtent l="0" t="0" r="17780" b="17145"/>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8220" cy="2593075"/>
                        </a:xfrm>
                        <a:prstGeom prst="rect">
                          <a:avLst/>
                        </a:prstGeom>
                        <a:solidFill>
                          <a:srgbClr val="FFFFFF"/>
                        </a:solidFill>
                        <a:ln w="9525">
                          <a:solidFill>
                            <a:srgbClr val="000000"/>
                          </a:solidFill>
                          <a:miter lim="800000"/>
                          <a:headEnd/>
                          <a:tailEnd/>
                        </a:ln>
                      </wps:spPr>
                      <wps:txbx>
                        <w:txbxContent>
                          <w:p w14:paraId="5377B558" w14:textId="1B9E1E1E" w:rsidR="00AD7037" w:rsidRPr="00CD009A" w:rsidRDefault="00AD7037" w:rsidP="00757E09">
                            <w:pPr>
                              <w:pStyle w:val="3GPPAgreements"/>
                              <w:numPr>
                                <w:ilvl w:val="0"/>
                                <w:numId w:val="0"/>
                              </w:numPr>
                              <w:spacing w:before="120" w:after="120"/>
                            </w:pPr>
                            <w:r w:rsidRPr="00757E09">
                              <w:rPr>
                                <w:b/>
                                <w:bCs/>
                                <w:lang w:val="en-GB"/>
                              </w:rPr>
                              <w:t>Feasibility of handover with simultaneous Rx/Tx with source and target cells</w:t>
                            </w:r>
                          </w:p>
                          <w:p w14:paraId="1F5580B1" w14:textId="77777777" w:rsidR="00AD7037" w:rsidRPr="00757E09" w:rsidRDefault="00AD7037" w:rsidP="00757E09">
                            <w:pPr>
                              <w:pStyle w:val="ListParagraph"/>
                              <w:numPr>
                                <w:ilvl w:val="0"/>
                                <w:numId w:val="36"/>
                              </w:numPr>
                              <w:rPr>
                                <w:rFonts w:eastAsia="Batang"/>
                                <w:b/>
                                <w:sz w:val="20"/>
                                <w:szCs w:val="20"/>
                                <w:lang w:eastAsia="zh-CN"/>
                              </w:rPr>
                            </w:pPr>
                            <w:r w:rsidRPr="00757E09">
                              <w:rPr>
                                <w:rFonts w:eastAsia="Batang"/>
                                <w:b/>
                                <w:sz w:val="20"/>
                                <w:szCs w:val="20"/>
                                <w:lang w:eastAsia="zh-CN"/>
                              </w:rPr>
                              <w:t>Interband HO with simultaneous Rx/Tx with source and target cells supports different SCS to be configured for source and target cell.</w:t>
                            </w:r>
                          </w:p>
                          <w:p w14:paraId="2E36C012" w14:textId="77777777" w:rsidR="00AD7037" w:rsidRPr="00757E09" w:rsidRDefault="00AD7037" w:rsidP="00757E09">
                            <w:pPr>
                              <w:pStyle w:val="ListParagraph"/>
                              <w:numPr>
                                <w:ilvl w:val="0"/>
                                <w:numId w:val="36"/>
                              </w:numPr>
                              <w:rPr>
                                <w:rFonts w:eastAsia="Batang"/>
                                <w:b/>
                                <w:sz w:val="20"/>
                                <w:szCs w:val="20"/>
                                <w:lang w:eastAsia="zh-CN"/>
                              </w:rPr>
                            </w:pPr>
                            <w:r w:rsidRPr="00757E09">
                              <w:rPr>
                                <w:rFonts w:eastAsia="Batang"/>
                                <w:b/>
                                <w:sz w:val="20"/>
                                <w:szCs w:val="20"/>
                                <w:lang w:eastAsia="zh-CN"/>
                              </w:rPr>
                              <w:t>FFS on whether or not interfrequency intraband HO with simultaneous Rx/Tx with source and target cells supports different SCS to be configured for source and target cell</w:t>
                            </w:r>
                          </w:p>
                          <w:p w14:paraId="05734E1B" w14:textId="77777777" w:rsidR="00AD7037" w:rsidRPr="00757E09" w:rsidRDefault="00AD7037" w:rsidP="00757E09">
                            <w:pPr>
                              <w:pStyle w:val="ListParagraph"/>
                              <w:numPr>
                                <w:ilvl w:val="0"/>
                                <w:numId w:val="36"/>
                              </w:numPr>
                              <w:rPr>
                                <w:rFonts w:eastAsia="Batang"/>
                                <w:b/>
                                <w:sz w:val="20"/>
                                <w:szCs w:val="20"/>
                                <w:lang w:eastAsia="zh-CN"/>
                              </w:rPr>
                            </w:pPr>
                            <w:r w:rsidRPr="00757E09">
                              <w:rPr>
                                <w:rFonts w:eastAsia="Batang"/>
                                <w:b/>
                                <w:sz w:val="20"/>
                                <w:szCs w:val="20"/>
                                <w:lang w:eastAsia="zh-CN"/>
                              </w:rPr>
                              <w:t>FFS on whether or not intrafrequency HO with simultaneous Rx/Tx with source and target cells supports different SCS to be configured for source and target cell</w:t>
                            </w:r>
                          </w:p>
                          <w:p w14:paraId="3274DBAB" w14:textId="0DF210DC" w:rsidR="00AD7037" w:rsidRDefault="00AD7037" w:rsidP="00757E09">
                            <w:pPr>
                              <w:rPr>
                                <w:rFonts w:eastAsia="Batang"/>
                                <w:b/>
                                <w:lang w:eastAsia="zh-CN"/>
                              </w:rPr>
                            </w:pPr>
                          </w:p>
                          <w:p w14:paraId="1A7D78A1" w14:textId="610493AF" w:rsidR="00AD7037" w:rsidRDefault="00AD7037" w:rsidP="00757E09">
                            <w:pPr>
                              <w:rPr>
                                <w:rFonts w:eastAsia="Batang"/>
                                <w:b/>
                                <w:bCs/>
                                <w:lang w:eastAsia="zh-CN"/>
                              </w:rPr>
                            </w:pPr>
                            <w:r w:rsidRPr="00757E09">
                              <w:rPr>
                                <w:rFonts w:eastAsia="Batang"/>
                                <w:b/>
                                <w:bCs/>
                                <w:lang w:eastAsia="zh-CN"/>
                              </w:rPr>
                              <w:t>Handover delay of handover with simultaneous Rx/Tx with source and target cells</w:t>
                            </w:r>
                          </w:p>
                          <w:p w14:paraId="3BA9C766" w14:textId="77777777" w:rsidR="00AD7037" w:rsidRPr="00757E09" w:rsidRDefault="00AD7037" w:rsidP="00757E09">
                            <w:pPr>
                              <w:pStyle w:val="ListParagraph"/>
                              <w:numPr>
                                <w:ilvl w:val="0"/>
                                <w:numId w:val="37"/>
                              </w:numPr>
                              <w:rPr>
                                <w:rFonts w:eastAsia="Batang"/>
                                <w:b/>
                                <w:sz w:val="20"/>
                                <w:szCs w:val="20"/>
                                <w:lang w:eastAsia="zh-CN"/>
                              </w:rPr>
                            </w:pPr>
                            <w:r w:rsidRPr="00757E09">
                              <w:rPr>
                                <w:rFonts w:eastAsia="Batang"/>
                                <w:b/>
                                <w:sz w:val="20"/>
                                <w:szCs w:val="20"/>
                                <w:lang w:eastAsia="zh-CN"/>
                              </w:rPr>
                              <w:t>The legacy handover delay definition may not be suitable for simultaneous connectivity handover.</w:t>
                            </w:r>
                          </w:p>
                          <w:p w14:paraId="7B537250" w14:textId="77777777" w:rsidR="00AD7037" w:rsidRPr="00757E09" w:rsidRDefault="00AD7037" w:rsidP="00757E09">
                            <w:pPr>
                              <w:pStyle w:val="ListParagraph"/>
                              <w:numPr>
                                <w:ilvl w:val="0"/>
                                <w:numId w:val="37"/>
                              </w:numPr>
                              <w:rPr>
                                <w:rFonts w:eastAsia="Batang"/>
                                <w:b/>
                                <w:sz w:val="20"/>
                                <w:szCs w:val="20"/>
                                <w:lang w:eastAsia="zh-CN"/>
                              </w:rPr>
                            </w:pPr>
                            <w:r w:rsidRPr="00757E09">
                              <w:rPr>
                                <w:rFonts w:eastAsia="Batang"/>
                                <w:b/>
                                <w:sz w:val="20"/>
                                <w:szCs w:val="20"/>
                                <w:lang w:eastAsia="zh-CN"/>
                              </w:rPr>
                              <w:t>The starting point of handover delay is defined as the time when UE receives RRC indicating handover. The ending point of handover delay is FFS.</w:t>
                            </w:r>
                          </w:p>
                          <w:p w14:paraId="4B55543C" w14:textId="77777777" w:rsidR="00AD7037" w:rsidRPr="00757E09" w:rsidRDefault="00AD7037" w:rsidP="00757E09">
                            <w:pPr>
                              <w:pStyle w:val="ListParagraph"/>
                              <w:numPr>
                                <w:ilvl w:val="0"/>
                                <w:numId w:val="37"/>
                              </w:numPr>
                              <w:rPr>
                                <w:rFonts w:eastAsia="Batang"/>
                                <w:b/>
                                <w:sz w:val="20"/>
                                <w:szCs w:val="20"/>
                                <w:lang w:eastAsia="zh-CN"/>
                              </w:rPr>
                            </w:pPr>
                            <w:r w:rsidRPr="00757E09">
                              <w:rPr>
                                <w:rFonts w:eastAsia="Batang"/>
                                <w:b/>
                                <w:sz w:val="20"/>
                                <w:szCs w:val="20"/>
                                <w:lang w:eastAsia="zh-CN"/>
                              </w:rPr>
                              <w:t>RAN4 needs to discuss if delay and interruption requirement is needed for source cell release.</w:t>
                            </w:r>
                          </w:p>
                          <w:p w14:paraId="07A28728" w14:textId="77777777" w:rsidR="00AD7037" w:rsidRPr="009C5EB9" w:rsidRDefault="00AD7037" w:rsidP="00757E09">
                            <w:pPr>
                              <w:rPr>
                                <w:rFonts w:eastAsia="Batang"/>
                                <w:b/>
                                <w:lang w:eastAsia="zh-CN"/>
                              </w:rPr>
                            </w:pPr>
                          </w:p>
                        </w:txbxContent>
                      </wps:txbx>
                      <wps:bodyPr rot="0" vert="horz" wrap="square" lIns="91440" tIns="45720" rIns="91440" bIns="45720" anchor="t" anchorCtr="0">
                        <a:noAutofit/>
                      </wps:bodyPr>
                    </wps:wsp>
                  </a:graphicData>
                </a:graphic>
              </wp:inline>
            </w:drawing>
          </mc:Choice>
          <mc:Fallback>
            <w:pict>
              <v:shapetype w14:anchorId="53966744" id="_x0000_t202" coordsize="21600,21600" o:spt="202" path="m,l,21600r21600,l21600,xe">
                <v:stroke joinstyle="miter"/>
                <v:path gradientshapeok="t" o:connecttype="rect"/>
              </v:shapetype>
              <v:shape id="Text Box 2" o:spid="_x0000_s1026" type="#_x0000_t202" style="width:478.6pt;height:204.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">
                <v:textbox>
                  <w:txbxContent>
                    <w:p w14:paraId="5377B558" w14:textId="1B9E1E1E" w:rsidR="00AD7037" w:rsidRPr="00CD009A" w:rsidRDefault="00AD7037" w:rsidP="00757E09">
                      <w:pPr>
                        <w:pStyle w:val="3GPPAgreements"/>
                        <w:numPr>
                          <w:ilvl w:val="0"/>
                          <w:numId w:val="0"/>
                        </w:numPr>
                        <w:spacing w:before="120" w:after="120"/>
                      </w:pPr>
                      <w:r w:rsidRPr="00757E09">
                        <w:rPr>
                          <w:b/>
                          <w:bCs/>
                          <w:lang w:val="en-GB"/>
                        </w:rPr>
                        <w:t>Feasibility of handover with simultaneous Rx/Tx with source and target cells</w:t>
                      </w:r>
                    </w:p>
                    <w:p w14:paraId="1F5580B1" w14:textId="77777777" w:rsidR="00AD7037" w:rsidRPr="00757E09" w:rsidRDefault="00AD7037" w:rsidP="00757E09">
                      <w:pPr>
                        <w:pStyle w:val="ListParagraph"/>
                        <w:numPr>
                          <w:ilvl w:val="0"/>
                          <w:numId w:val="36"/>
                        </w:numPr>
                        <w:rPr>
                          <w:rFonts w:eastAsia="Batang"/>
                          <w:b/>
                          <w:sz w:val="20"/>
                          <w:szCs w:val="20"/>
                          <w:lang w:eastAsia="zh-CN"/>
                        </w:rPr>
                      </w:pPr>
                      <w:r w:rsidRPr="00757E09">
                        <w:rPr>
                          <w:rFonts w:eastAsia="Batang"/>
                          <w:b/>
                          <w:sz w:val="20"/>
                          <w:szCs w:val="20"/>
                          <w:lang w:eastAsia="zh-CN"/>
                        </w:rPr>
                        <w:t>Interband HO with simultaneous Rx/Tx with source and target cells supports different SCS to be configured for source and target cell.</w:t>
                      </w:r>
                    </w:p>
                    <w:p w14:paraId="2E36C012" w14:textId="77777777" w:rsidR="00AD7037" w:rsidRPr="00757E09" w:rsidRDefault="00AD7037" w:rsidP="00757E09">
                      <w:pPr>
                        <w:pStyle w:val="ListParagraph"/>
                        <w:numPr>
                          <w:ilvl w:val="0"/>
                          <w:numId w:val="36"/>
                        </w:numPr>
                        <w:rPr>
                          <w:rFonts w:eastAsia="Batang"/>
                          <w:b/>
                          <w:sz w:val="20"/>
                          <w:szCs w:val="20"/>
                          <w:lang w:eastAsia="zh-CN"/>
                        </w:rPr>
                      </w:pPr>
                      <w:r w:rsidRPr="00757E09">
                        <w:rPr>
                          <w:rFonts w:eastAsia="Batang"/>
                          <w:b/>
                          <w:sz w:val="20"/>
                          <w:szCs w:val="20"/>
                          <w:lang w:eastAsia="zh-CN"/>
                        </w:rPr>
                        <w:t>FFS on whether or not interfrequency intraband HO with simultaneous Rx/Tx with source and target cells supports different SCS to be configured for source and target cell</w:t>
                      </w:r>
                    </w:p>
                    <w:p w14:paraId="05734E1B" w14:textId="77777777" w:rsidR="00AD7037" w:rsidRPr="00757E09" w:rsidRDefault="00AD7037" w:rsidP="00757E09">
                      <w:pPr>
                        <w:pStyle w:val="ListParagraph"/>
                        <w:numPr>
                          <w:ilvl w:val="0"/>
                          <w:numId w:val="36"/>
                        </w:numPr>
                        <w:rPr>
                          <w:rFonts w:eastAsia="Batang"/>
                          <w:b/>
                          <w:sz w:val="20"/>
                          <w:szCs w:val="20"/>
                          <w:lang w:eastAsia="zh-CN"/>
                        </w:rPr>
                      </w:pPr>
                      <w:r w:rsidRPr="00757E09">
                        <w:rPr>
                          <w:rFonts w:eastAsia="Batang"/>
                          <w:b/>
                          <w:sz w:val="20"/>
                          <w:szCs w:val="20"/>
                          <w:lang w:eastAsia="zh-CN"/>
                        </w:rPr>
                        <w:t>FFS on whether or not intrafrequency HO with simultaneous Rx/Tx with source and target cells supports different SCS to be configured for source and target cell</w:t>
                      </w:r>
                    </w:p>
                    <w:p w14:paraId="3274DBAB" w14:textId="0DF210DC" w:rsidR="00AD7037" w:rsidRDefault="00AD7037" w:rsidP="00757E09">
                      <w:pPr>
                        <w:rPr>
                          <w:rFonts w:eastAsia="Batang"/>
                          <w:b/>
                          <w:lang w:eastAsia="zh-CN"/>
                        </w:rPr>
                      </w:pPr>
                    </w:p>
                    <w:p w14:paraId="1A7D78A1" w14:textId="610493AF" w:rsidR="00AD7037" w:rsidRDefault="00AD7037" w:rsidP="00757E09">
                      <w:pPr>
                        <w:rPr>
                          <w:rFonts w:eastAsia="Batang"/>
                          <w:b/>
                          <w:bCs/>
                          <w:lang w:eastAsia="zh-CN"/>
                        </w:rPr>
                      </w:pPr>
                      <w:r w:rsidRPr="00757E09">
                        <w:rPr>
                          <w:rFonts w:eastAsia="Batang"/>
                          <w:b/>
                          <w:bCs/>
                          <w:lang w:eastAsia="zh-CN"/>
                        </w:rPr>
                        <w:t>Handover delay of handover with simultaneous Rx/Tx with source and target cells</w:t>
                      </w:r>
                    </w:p>
                    <w:p w14:paraId="3BA9C766" w14:textId="77777777" w:rsidR="00AD7037" w:rsidRPr="00757E09" w:rsidRDefault="00AD7037" w:rsidP="00757E09">
                      <w:pPr>
                        <w:pStyle w:val="ListParagraph"/>
                        <w:numPr>
                          <w:ilvl w:val="0"/>
                          <w:numId w:val="37"/>
                        </w:numPr>
                        <w:rPr>
                          <w:rFonts w:eastAsia="Batang"/>
                          <w:b/>
                          <w:sz w:val="20"/>
                          <w:szCs w:val="20"/>
                          <w:lang w:eastAsia="zh-CN"/>
                        </w:rPr>
                      </w:pPr>
                      <w:r w:rsidRPr="00757E09">
                        <w:rPr>
                          <w:rFonts w:eastAsia="Batang"/>
                          <w:b/>
                          <w:sz w:val="20"/>
                          <w:szCs w:val="20"/>
                          <w:lang w:eastAsia="zh-CN"/>
                        </w:rPr>
                        <w:t>The legacy handover delay definition may not be suitable for simultaneous connectivity handover.</w:t>
                      </w:r>
                    </w:p>
                    <w:p w14:paraId="7B537250" w14:textId="77777777" w:rsidR="00AD7037" w:rsidRPr="00757E09" w:rsidRDefault="00AD7037" w:rsidP="00757E09">
                      <w:pPr>
                        <w:pStyle w:val="ListParagraph"/>
                        <w:numPr>
                          <w:ilvl w:val="0"/>
                          <w:numId w:val="37"/>
                        </w:numPr>
                        <w:rPr>
                          <w:rFonts w:eastAsia="Batang"/>
                          <w:b/>
                          <w:sz w:val="20"/>
                          <w:szCs w:val="20"/>
                          <w:lang w:eastAsia="zh-CN"/>
                        </w:rPr>
                      </w:pPr>
                      <w:r w:rsidRPr="00757E09">
                        <w:rPr>
                          <w:rFonts w:eastAsia="Batang"/>
                          <w:b/>
                          <w:sz w:val="20"/>
                          <w:szCs w:val="20"/>
                          <w:lang w:eastAsia="zh-CN"/>
                        </w:rPr>
                        <w:t>The starting point of handover delay is defined as the time when UE receives RRC indicating handover. The ending point of handover delay is FFS.</w:t>
                      </w:r>
                    </w:p>
                    <w:p w14:paraId="4B55543C" w14:textId="77777777" w:rsidR="00AD7037" w:rsidRPr="00757E09" w:rsidRDefault="00AD7037" w:rsidP="00757E09">
                      <w:pPr>
                        <w:pStyle w:val="ListParagraph"/>
                        <w:numPr>
                          <w:ilvl w:val="0"/>
                          <w:numId w:val="37"/>
                        </w:numPr>
                        <w:rPr>
                          <w:rFonts w:eastAsia="Batang"/>
                          <w:b/>
                          <w:sz w:val="20"/>
                          <w:szCs w:val="20"/>
                          <w:lang w:eastAsia="zh-CN"/>
                        </w:rPr>
                      </w:pPr>
                      <w:r w:rsidRPr="00757E09">
                        <w:rPr>
                          <w:rFonts w:eastAsia="Batang"/>
                          <w:b/>
                          <w:sz w:val="20"/>
                          <w:szCs w:val="20"/>
                          <w:lang w:eastAsia="zh-CN"/>
                        </w:rPr>
                        <w:t>RAN4 needs to discuss if delay and interruption requirement is needed for source cell release.</w:t>
                      </w:r>
                    </w:p>
                    <w:p w14:paraId="07A28728" w14:textId="77777777" w:rsidR="00AD7037" w:rsidRPr="009C5EB9" w:rsidRDefault="00AD7037" w:rsidP="00757E09">
                      <w:pPr>
                        <w:rPr>
                          <w:rFonts w:eastAsia="Batang"/>
                          <w:b/>
                          <w:lang w:eastAsia="zh-CN"/>
                        </w:rPr>
                      </w:pPr>
                    </w:p>
                  </w:txbxContent>
                </v:textbox>
                <w10:anchorlock/>
              </v:shape>
            </w:pict>
          </mc:Fallback>
        </mc:AlternateContent>
      </w:r>
    </w:p>
    <w:p w14:paraId="2D0D5189" w14:textId="05771B97" w:rsidR="00C51EC1" w:rsidRDefault="00757E09" w:rsidP="00A07530">
      <w:pPr>
        <w:rPr>
          <w:lang w:val="en-US"/>
        </w:rPr>
      </w:pPr>
      <w:r>
        <w:rPr>
          <w:lang w:val="en-US"/>
        </w:rPr>
        <w:t xml:space="preserve">In this paper, the remaining topics are further discussed. </w:t>
      </w:r>
    </w:p>
    <w:p w14:paraId="530805C1" w14:textId="6A56C166" w:rsidR="0005179F" w:rsidRDefault="004003A2" w:rsidP="00A07530">
      <w:pPr>
        <w:pStyle w:val="Heading1"/>
        <w:rPr>
          <w:lang w:val="en-US"/>
        </w:rPr>
      </w:pPr>
      <w:r>
        <w:rPr>
          <w:lang w:val="en-US"/>
        </w:rPr>
        <w:t xml:space="preserve"> </w:t>
      </w:r>
      <w:r w:rsidR="00757E09">
        <w:rPr>
          <w:lang w:val="en-US"/>
        </w:rPr>
        <w:t>Simultaneous Rx/Tx with source/target cells</w:t>
      </w:r>
    </w:p>
    <w:p w14:paraId="1D46552D" w14:textId="01F20396" w:rsidR="00757E09" w:rsidRDefault="00FF4626" w:rsidP="00757E09">
      <w:pPr>
        <w:rPr>
          <w:lang w:val="en-US"/>
        </w:rPr>
      </w:pPr>
      <w:r>
        <w:rPr>
          <w:lang w:val="en-US"/>
        </w:rPr>
        <w:t xml:space="preserve">As discussed in [2][3], one numerology (SCS) delivers optimal performance per band or multiple bands. Hence, within intra-frequency or intra-band inter-frequency framework, HO between source and target cells with different SCS is not a practical situation to be considered. In our view, RAN4 should not expend resources on defining requirements for such corner cases. </w:t>
      </w:r>
    </w:p>
    <w:p w14:paraId="35489FF2" w14:textId="093B387D" w:rsidR="00D27C78" w:rsidRDefault="00FF4626" w:rsidP="00757E09">
      <w:pPr>
        <w:rPr>
          <w:lang w:val="en-US"/>
        </w:rPr>
      </w:pPr>
      <w:r>
        <w:rPr>
          <w:lang w:val="en-US"/>
        </w:rPr>
        <w:t xml:space="preserve">Nevertheless, it should be </w:t>
      </w:r>
      <w:r w:rsidR="00D27C78">
        <w:rPr>
          <w:lang w:val="en-US"/>
        </w:rPr>
        <w:t xml:space="preserve">theoretically </w:t>
      </w:r>
      <w:r>
        <w:rPr>
          <w:lang w:val="en-US"/>
        </w:rPr>
        <w:t>possible for a UE with DLCA capability (in synchronous case) or DC capability (in asynchronous) case to support simultaneous Rx with different numerology between source and target cells</w:t>
      </w:r>
      <w:r w:rsidR="00B75496">
        <w:rPr>
          <w:lang w:val="en-US"/>
        </w:rPr>
        <w:t xml:space="preserve"> in intra-frequency or intra-band handovers</w:t>
      </w:r>
      <w:r>
        <w:rPr>
          <w:lang w:val="en-US"/>
        </w:rPr>
        <w:t xml:space="preserve">. </w:t>
      </w:r>
      <w:r w:rsidR="00D27C78">
        <w:rPr>
          <w:lang w:val="en-US"/>
        </w:rPr>
        <w:t xml:space="preserve">Supporting simultaneous Tx with different numerology between source and target cells </w:t>
      </w:r>
      <w:r w:rsidR="00B75496">
        <w:rPr>
          <w:lang w:val="en-US"/>
        </w:rPr>
        <w:t xml:space="preserve">in these scenarios </w:t>
      </w:r>
      <w:r w:rsidR="00D27C78">
        <w:rPr>
          <w:lang w:val="en-US"/>
        </w:rPr>
        <w:t>requires at least two separate Tx chains and its feasibility is FFS as most common implementations do not consider separate Tx chains for intra-frequency or intra-band scenarios so far.</w:t>
      </w:r>
    </w:p>
    <w:p w14:paraId="48CBB7E8" w14:textId="7A706FD3" w:rsidR="00D27C78" w:rsidRPr="00D27C78" w:rsidRDefault="00D27C78" w:rsidP="00D27C78">
      <w:pPr>
        <w:rPr>
          <w:b/>
          <w:bCs/>
          <w:lang w:val="en-US"/>
        </w:rPr>
      </w:pPr>
      <w:r w:rsidRPr="00D27C78">
        <w:rPr>
          <w:b/>
          <w:bCs/>
          <w:lang w:val="en-US"/>
        </w:rPr>
        <w:t xml:space="preserve">Observation 1.  One numerology (SCS) delivers optimal performance per band or multiple bands. Hence, within intra-frequency or intra-band inter-frequency framework, HO between source and target cells with different SCS is not a practical situation to be considered. RAN4 should not expend resources on defining requirements for such corner cases. </w:t>
      </w:r>
    </w:p>
    <w:p w14:paraId="1DBEF557" w14:textId="2839AA3C" w:rsidR="00FF4626" w:rsidRPr="00343501" w:rsidRDefault="00D27C78" w:rsidP="00757E09">
      <w:pPr>
        <w:rPr>
          <w:b/>
          <w:bCs/>
          <w:lang w:val="en-US"/>
        </w:rPr>
      </w:pPr>
      <w:r w:rsidRPr="00B75496">
        <w:rPr>
          <w:b/>
          <w:bCs/>
          <w:lang w:val="en-US"/>
        </w:rPr>
        <w:t xml:space="preserve">Observation 2. It should be theoretically possible for a UE with DLCA capability (in synchronous case) or DC capability (in asynchronous) case to support simultaneous Rx with different numerology between source and target cells in intra-frequency or intra-band handovers. Supporting simultaneous Tx with different numerology </w:t>
      </w:r>
      <w:r w:rsidRPr="00B75496">
        <w:rPr>
          <w:b/>
          <w:bCs/>
          <w:lang w:val="en-US"/>
        </w:rPr>
        <w:lastRenderedPageBreak/>
        <w:t xml:space="preserve">between source and target cells </w:t>
      </w:r>
      <w:r w:rsidR="00B75496" w:rsidRPr="00B75496">
        <w:rPr>
          <w:b/>
          <w:bCs/>
          <w:lang w:val="en-US"/>
        </w:rPr>
        <w:t xml:space="preserve">in these scenarios </w:t>
      </w:r>
      <w:r w:rsidRPr="00B75496">
        <w:rPr>
          <w:b/>
          <w:bCs/>
          <w:lang w:val="en-US"/>
        </w:rPr>
        <w:t>requires at least two separate Tx chains and its feasibility is FFS as most common implementations do not consider separate Tx chains for intra-frequency or intra-band scenarios so far.</w:t>
      </w:r>
    </w:p>
    <w:p w14:paraId="2A2141A0" w14:textId="163D6ED8" w:rsidR="00757E09" w:rsidRDefault="00757E09" w:rsidP="00A07530">
      <w:pPr>
        <w:pStyle w:val="Heading1"/>
        <w:rPr>
          <w:lang w:val="en-US"/>
        </w:rPr>
      </w:pPr>
      <w:r>
        <w:rPr>
          <w:lang w:val="en-US"/>
        </w:rPr>
        <w:t xml:space="preserve"> Delay requirements</w:t>
      </w:r>
    </w:p>
    <w:p w14:paraId="4DD213C8" w14:textId="0A162E00" w:rsidR="00757E09" w:rsidRDefault="006F1828" w:rsidP="00757E09">
      <w:pPr>
        <w:rPr>
          <w:lang w:val="en-US"/>
        </w:rPr>
      </w:pPr>
      <w:r>
        <w:rPr>
          <w:lang w:val="en-US"/>
        </w:rPr>
        <w:t>In RAN4#91 meeting, the following was agreed for LTE enhancement mobility (LTE FeMob) [4]:</w:t>
      </w:r>
    </w:p>
    <w:p w14:paraId="04A20FAF" w14:textId="0FEF6FC6" w:rsidR="006F1828" w:rsidRDefault="006F1828" w:rsidP="00757E09">
      <w:pPr>
        <w:rPr>
          <w:lang w:val="en-US"/>
        </w:rPr>
      </w:pPr>
      <w:r w:rsidRPr="0074147F">
        <w:rPr>
          <w:noProof/>
          <w:lang w:val="en-US" w:eastAsia="zh-CN"/>
        </w:rPr>
        <mc:AlternateContent>
          <mc:Choice Requires="wps">
            <w:drawing>
              <wp:inline distT="0" distB="0" distL="0" distR="0" wp14:anchorId="7E26B297" wp14:editId="3DDDB21D">
                <wp:extent cx="5881420" cy="996287"/>
                <wp:effectExtent l="0" t="0" r="24130" b="13970"/>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1420" cy="996287"/>
                        </a:xfrm>
                        <a:prstGeom prst="rect">
                          <a:avLst/>
                        </a:prstGeom>
                        <a:solidFill>
                          <a:srgbClr val="FFFFFF"/>
                        </a:solidFill>
                        <a:ln w="9525">
                          <a:solidFill>
                            <a:srgbClr val="000000"/>
                          </a:solidFill>
                          <a:miter lim="800000"/>
                          <a:headEnd/>
                          <a:tailEnd/>
                        </a:ln>
                      </wps:spPr>
                      <wps:txbx>
                        <w:txbxContent>
                          <w:p w14:paraId="58406033" w14:textId="77777777" w:rsidR="00AD7037" w:rsidRPr="00293E7E" w:rsidRDefault="00AD7037" w:rsidP="006F1828">
                            <w:pPr>
                              <w:overflowPunct w:val="0"/>
                              <w:autoSpaceDE w:val="0"/>
                              <w:autoSpaceDN w:val="0"/>
                              <w:adjustRightInd w:val="0"/>
                              <w:spacing w:afterLines="50" w:after="120"/>
                              <w:textAlignment w:val="baseline"/>
                              <w:rPr>
                                <w:rFonts w:eastAsia="Times New Roman"/>
                                <w:b/>
                                <w:bCs/>
                                <w:lang w:val="en-US"/>
                              </w:rPr>
                            </w:pPr>
                            <w:r w:rsidRPr="00293E7E">
                              <w:rPr>
                                <w:rFonts w:eastAsia="Times New Roman"/>
                                <w:b/>
                                <w:bCs/>
                                <w:lang w:val="en-US"/>
                              </w:rPr>
                              <w:t>On non-split dual active protocol stack solution</w:t>
                            </w:r>
                          </w:p>
                          <w:p w14:paraId="38B76423" w14:textId="77777777" w:rsidR="00AD7037" w:rsidRPr="00293E7E" w:rsidRDefault="00AD7037" w:rsidP="006F1828">
                            <w:pPr>
                              <w:numPr>
                                <w:ilvl w:val="1"/>
                                <w:numId w:val="38"/>
                              </w:numPr>
                              <w:overflowPunct w:val="0"/>
                              <w:autoSpaceDE w:val="0"/>
                              <w:autoSpaceDN w:val="0"/>
                              <w:adjustRightInd w:val="0"/>
                              <w:spacing w:afterLines="50" w:after="120"/>
                              <w:textAlignment w:val="baseline"/>
                              <w:rPr>
                                <w:rFonts w:eastAsia="Times New Roman"/>
                                <w:b/>
                                <w:bCs/>
                                <w:lang w:val="en-US"/>
                              </w:rPr>
                            </w:pPr>
                            <w:r w:rsidRPr="00293E7E">
                              <w:rPr>
                                <w:rFonts w:eastAsia="Times New Roman"/>
                                <w:b/>
                                <w:bCs/>
                              </w:rPr>
                              <w:t>The handover delay is defined as when the UE receives a RRC message from source cell implying handover the UE shall be ready to start the transmission of the new uplink PUSCH channel on the target cell within D</w:t>
                            </w:r>
                            <w:r w:rsidRPr="00293E7E">
                              <w:rPr>
                                <w:rFonts w:eastAsia="Times New Roman"/>
                                <w:b/>
                                <w:bCs/>
                                <w:vertAlign w:val="subscript"/>
                              </w:rPr>
                              <w:t xml:space="preserve">handover </w:t>
                            </w:r>
                            <w:r w:rsidRPr="00293E7E">
                              <w:rPr>
                                <w:rFonts w:eastAsia="Times New Roman"/>
                                <w:b/>
                                <w:bCs/>
                              </w:rPr>
                              <w:t>seconds from the end of the last TTI containing the RRC command.</w:t>
                            </w:r>
                          </w:p>
                          <w:p w14:paraId="6E8963DC" w14:textId="0C69C7B0" w:rsidR="00AD7037" w:rsidRPr="00293E7E" w:rsidRDefault="00AD7037" w:rsidP="006F1828">
                            <w:pPr>
                              <w:overflowPunct w:val="0"/>
                              <w:autoSpaceDE w:val="0"/>
                              <w:autoSpaceDN w:val="0"/>
                              <w:adjustRightInd w:val="0"/>
                              <w:spacing w:afterLines="50" w:after="120"/>
                              <w:textAlignment w:val="baseline"/>
                              <w:rPr>
                                <w:rFonts w:ascii="Arial" w:hAnsi="Arial" w:cs="Arial"/>
                                <w:b/>
                                <w:bCs/>
                                <w:lang w:val="en-US"/>
                              </w:rPr>
                            </w:pPr>
                          </w:p>
                        </w:txbxContent>
                      </wps:txbx>
                      <wps:bodyPr rot="0" vert="horz" wrap="square" lIns="91440" tIns="45720" rIns="91440" bIns="45720" anchor="t" anchorCtr="0">
                        <a:noAutofit/>
                      </wps:bodyPr>
                    </wps:wsp>
                  </a:graphicData>
                </a:graphic>
              </wp:inline>
            </w:drawing>
          </mc:Choice>
          <mc:Fallback>
            <w:pict>
              <v:shape w14:anchorId="7E26B297" id="Text Box 1" o:spid="_x0000_s1027" type="#_x0000_t202" style="width:463.1pt;height:78.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">
                <v:textbox>
                  <w:txbxContent>
                    <w:p w14:paraId="58406033" w14:textId="77777777" w:rsidR="00AD7037" w:rsidRPr="00293E7E" w:rsidRDefault="00AD7037" w:rsidP="006F1828">
                      <w:pPr>
                        <w:overflowPunct w:val="0"/>
                        <w:autoSpaceDE w:val="0"/>
                        <w:autoSpaceDN w:val="0"/>
                        <w:adjustRightInd w:val="0"/>
                        <w:spacing w:afterLines="50" w:after="120"/>
                        <w:textAlignment w:val="baseline"/>
                        <w:rPr>
                          <w:rFonts w:eastAsia="Times New Roman"/>
                          <w:b/>
                          <w:bCs/>
                          <w:lang w:val="en-US"/>
                        </w:rPr>
                      </w:pPr>
                      <w:r w:rsidRPr="00293E7E">
                        <w:rPr>
                          <w:rFonts w:eastAsia="Times New Roman"/>
                          <w:b/>
                          <w:bCs/>
                          <w:lang w:val="en-US"/>
                        </w:rPr>
                        <w:t>On non-split dual active protocol stack solution</w:t>
                      </w:r>
                    </w:p>
                    <w:p w14:paraId="38B76423" w14:textId="77777777" w:rsidR="00AD7037" w:rsidRPr="00293E7E" w:rsidRDefault="00AD7037" w:rsidP="006F1828">
                      <w:pPr>
                        <w:numPr>
                          <w:ilvl w:val="1"/>
                          <w:numId w:val="38"/>
                        </w:numPr>
                        <w:overflowPunct w:val="0"/>
                        <w:autoSpaceDE w:val="0"/>
                        <w:autoSpaceDN w:val="0"/>
                        <w:adjustRightInd w:val="0"/>
                        <w:spacing w:afterLines="50" w:after="120"/>
                        <w:textAlignment w:val="baseline"/>
                        <w:rPr>
                          <w:rFonts w:eastAsia="Times New Roman"/>
                          <w:b/>
                          <w:bCs/>
                          <w:lang w:val="en-US"/>
                        </w:rPr>
                      </w:pPr>
                      <w:r w:rsidRPr="00293E7E">
                        <w:rPr>
                          <w:rFonts w:eastAsia="Times New Roman"/>
                          <w:b/>
                          <w:bCs/>
                        </w:rPr>
                        <w:t>The handover delay is defined as when the UE receives a RRC message from source cell implying handover the UE shall be ready to start the transmission of the new uplink PUSCH channel on the target cell within D</w:t>
                      </w:r>
                      <w:r w:rsidRPr="00293E7E">
                        <w:rPr>
                          <w:rFonts w:eastAsia="Times New Roman"/>
                          <w:b/>
                          <w:bCs/>
                          <w:vertAlign w:val="subscript"/>
                        </w:rPr>
                        <w:t xml:space="preserve">handover </w:t>
                      </w:r>
                      <w:r w:rsidRPr="00293E7E">
                        <w:rPr>
                          <w:rFonts w:eastAsia="Times New Roman"/>
                          <w:b/>
                          <w:bCs/>
                        </w:rPr>
                        <w:t>seconds from the end of the last TTI containing the RRC command.</w:t>
                      </w:r>
                    </w:p>
                    <w:p w14:paraId="6E8963DC" w14:textId="0C69C7B0" w:rsidR="00AD7037" w:rsidRPr="00293E7E" w:rsidRDefault="00AD7037" w:rsidP="006F1828">
                      <w:pPr>
                        <w:overflowPunct w:val="0"/>
                        <w:autoSpaceDE w:val="0"/>
                        <w:autoSpaceDN w:val="0"/>
                        <w:adjustRightInd w:val="0"/>
                        <w:spacing w:afterLines="50" w:after="120"/>
                        <w:textAlignment w:val="baseline"/>
                        <w:rPr>
                          <w:rFonts w:ascii="Arial" w:hAnsi="Arial" w:cs="Arial"/>
                          <w:b/>
                          <w:bCs/>
                          <w:lang w:val="en-US"/>
                        </w:rPr>
                      </w:pPr>
                    </w:p>
                  </w:txbxContent>
                </v:textbox>
                <w10:anchorlock/>
              </v:shape>
            </w:pict>
          </mc:Fallback>
        </mc:AlternateContent>
      </w:r>
    </w:p>
    <w:p w14:paraId="7D5AE7B3" w14:textId="4AE3C06A" w:rsidR="00FE508E" w:rsidRDefault="006F1828" w:rsidP="00757E09">
      <w:pPr>
        <w:rPr>
          <w:lang w:val="en-US"/>
        </w:rPr>
      </w:pPr>
      <w:r>
        <w:rPr>
          <w:lang w:val="en-US"/>
        </w:rPr>
        <w:t>Although there is no similar agreement in NR mobility enhancement yet, the LTE and NR work items thus far have had common understanding</w:t>
      </w:r>
      <w:r w:rsidR="00FE508E">
        <w:rPr>
          <w:lang w:val="en-US"/>
        </w:rPr>
        <w:t>s</w:t>
      </w:r>
      <w:r>
        <w:rPr>
          <w:lang w:val="en-US"/>
        </w:rPr>
        <w:t xml:space="preserve"> and agreements as much as possible. In legacy HO, the end point of the HO delay is considered as the TTI in which UE transmits PRACH. However, in enhancement make-before-break, the same end point can no longer be used</w:t>
      </w:r>
      <w:r w:rsidR="00FE508E">
        <w:rPr>
          <w:lang w:val="en-US"/>
        </w:rPr>
        <w:t xml:space="preserve"> as simultaneous connectivity (at least in the DL) to source and target cells has to be established first before declaring HO to be complete. As such, the end point of eMBB HO delay must go beyond PRACH. There are at least three options to consider beyond PRACH:</w:t>
      </w:r>
    </w:p>
    <w:p w14:paraId="1E59856A" w14:textId="58ECD83C" w:rsidR="00FE508E" w:rsidRPr="00FE508E" w:rsidRDefault="00FE508E" w:rsidP="00FE508E">
      <w:pPr>
        <w:pStyle w:val="ListParagraph"/>
        <w:numPr>
          <w:ilvl w:val="0"/>
          <w:numId w:val="39"/>
        </w:numPr>
        <w:rPr>
          <w:sz w:val="20"/>
          <w:szCs w:val="20"/>
        </w:rPr>
      </w:pPr>
      <w:r w:rsidRPr="00FE508E">
        <w:rPr>
          <w:sz w:val="20"/>
          <w:szCs w:val="20"/>
        </w:rPr>
        <w:t>MSG3</w:t>
      </w:r>
    </w:p>
    <w:p w14:paraId="11305F99" w14:textId="184A51C0" w:rsidR="00FE508E" w:rsidRPr="00FE508E" w:rsidRDefault="00FE508E" w:rsidP="00FE508E">
      <w:pPr>
        <w:pStyle w:val="ListParagraph"/>
        <w:numPr>
          <w:ilvl w:val="0"/>
          <w:numId w:val="39"/>
        </w:numPr>
        <w:rPr>
          <w:sz w:val="20"/>
          <w:szCs w:val="20"/>
        </w:rPr>
      </w:pPr>
      <w:r w:rsidRPr="00FE508E">
        <w:rPr>
          <w:i/>
          <w:iCs/>
          <w:sz w:val="20"/>
          <w:szCs w:val="20"/>
        </w:rPr>
        <w:t>RRCReconfigurationComplete</w:t>
      </w:r>
      <w:r w:rsidRPr="00FE508E">
        <w:rPr>
          <w:sz w:val="20"/>
          <w:szCs w:val="20"/>
        </w:rPr>
        <w:t xml:space="preserve"> message</w:t>
      </w:r>
    </w:p>
    <w:p w14:paraId="762EEF10" w14:textId="26035DBB" w:rsidR="00FE508E" w:rsidRPr="00FE508E" w:rsidRDefault="00FE508E" w:rsidP="00FE508E">
      <w:pPr>
        <w:pStyle w:val="ListParagraph"/>
        <w:numPr>
          <w:ilvl w:val="0"/>
          <w:numId w:val="39"/>
        </w:numPr>
        <w:rPr>
          <w:sz w:val="20"/>
          <w:szCs w:val="20"/>
        </w:rPr>
      </w:pPr>
      <w:r w:rsidRPr="00FE508E">
        <w:rPr>
          <w:sz w:val="20"/>
          <w:szCs w:val="20"/>
        </w:rPr>
        <w:t>Release of source cell</w:t>
      </w:r>
    </w:p>
    <w:p w14:paraId="0FED3C90" w14:textId="5F7F2256" w:rsidR="00FE508E" w:rsidRDefault="00FE508E" w:rsidP="00FE508E"/>
    <w:p w14:paraId="2B55350E" w14:textId="7ED5822C" w:rsidR="00FE508E" w:rsidRDefault="00FE508E" w:rsidP="00FE508E">
      <w:r>
        <w:t>In our view MSG3 is a suitable candidate for end point of eMBB HO as UE is required to monitor and receive MSG2, random access response (RAR)</w:t>
      </w:r>
      <w:r w:rsidR="002E6ABF">
        <w:t>,</w:t>
      </w:r>
      <w:r>
        <w:t xml:space="preserve"> on target cell while continuing to receive PDSCH on the source cell. Consequently, MSG3 transmission TTI</w:t>
      </w:r>
      <w:r w:rsidR="002E6ABF">
        <w:t xml:space="preserve"> is sufficient evidence that UE has simultaneous connectivity with both source and target cells. The other two options occur beyond MSG3 and their delay definition becomes long and complicated with uncertainties beyond UE control impacting the delay.</w:t>
      </w:r>
    </w:p>
    <w:p w14:paraId="5FEFD555" w14:textId="7A08E867" w:rsidR="002E6ABF" w:rsidRPr="002E6ABF" w:rsidRDefault="002E6ABF" w:rsidP="00FE508E">
      <w:pPr>
        <w:rPr>
          <w:b/>
          <w:bCs/>
        </w:rPr>
      </w:pPr>
      <w:r w:rsidRPr="002E6ABF">
        <w:rPr>
          <w:b/>
          <w:bCs/>
        </w:rPr>
        <w:t>Observation 3. In enhanced MBB HO, the end point of delay can no longer be PRACH as it does not show that UE has established simultaneous connectivity (at least in DL) with both source and target cells. MSG3 transmission TTI, however, is a suitable candidate for end point of delay as UE is required to monitor and receive MSG2, random access response (RAR), on target cell while continuing to receive PDSCH on the source cell.</w:t>
      </w:r>
    </w:p>
    <w:p w14:paraId="42C8A231" w14:textId="23C9978B" w:rsidR="002E6ABF" w:rsidRDefault="002E6ABF" w:rsidP="00FE508E">
      <w:r>
        <w:t xml:space="preserve">To account for both contention-based and contention-free random access, the end point should be defined as the start of </w:t>
      </w:r>
      <w:r w:rsidR="00925C27">
        <w:t xml:space="preserve">first </w:t>
      </w:r>
      <w:r>
        <w:t xml:space="preserve">PUSCH </w:t>
      </w:r>
      <w:r w:rsidR="00925C27">
        <w:t>transmission scheduled by RAR. This definition includes both contention-based and contention-free random access.</w:t>
      </w:r>
    </w:p>
    <w:p w14:paraId="0F82816B" w14:textId="77777777" w:rsidR="00925C27" w:rsidRPr="00925C27" w:rsidRDefault="002E6ABF" w:rsidP="00925C27">
      <w:pPr>
        <w:rPr>
          <w:b/>
          <w:bCs/>
        </w:rPr>
      </w:pPr>
      <w:r w:rsidRPr="00925C27">
        <w:rPr>
          <w:b/>
          <w:bCs/>
        </w:rPr>
        <w:t xml:space="preserve">Proposal 1. RAN4 to adopt </w:t>
      </w:r>
      <w:r w:rsidR="00925C27" w:rsidRPr="00925C27">
        <w:rPr>
          <w:b/>
          <w:bCs/>
        </w:rPr>
        <w:t xml:space="preserve">the end point of eMBB HO delay as the start of first PUSCH transmission scheduled by RAR.  </w:t>
      </w:r>
    </w:p>
    <w:p w14:paraId="1D53C9E4" w14:textId="2678D9B6" w:rsidR="002E6ABF" w:rsidRDefault="004323E2" w:rsidP="00FE508E">
      <w:r>
        <w:t>Figure 1 shows the timeline for eMBB HO. From reception of HO RRC command to transmission of PRACH, the timeline is mostly the same as legacy HO with the main difference being a smaller interruption time that happens after UE has processed RRC. The length of this interruption depends on the type of HO (intra-frequency, intra-band, …) and is discussed in Section 2.3. Beyond PRACH, the two time intervals correspond to reception of RAR message (T</w:t>
      </w:r>
      <w:r w:rsidRPr="004323E2">
        <w:rPr>
          <w:vertAlign w:val="subscript"/>
        </w:rPr>
        <w:t>MSG2</w:t>
      </w:r>
      <w:r>
        <w:t>) and transmission of PUSCH in response to RAR schedule (T</w:t>
      </w:r>
      <w:r w:rsidRPr="004323E2">
        <w:rPr>
          <w:vertAlign w:val="subscript"/>
        </w:rPr>
        <w:t>MSG</w:t>
      </w:r>
      <w:r>
        <w:rPr>
          <w:vertAlign w:val="subscript"/>
        </w:rPr>
        <w:t>3</w:t>
      </w:r>
      <w:r>
        <w:t>).</w:t>
      </w:r>
    </w:p>
    <w:p w14:paraId="0544F21D" w14:textId="2ABC2EB5" w:rsidR="004323E2" w:rsidRDefault="004323E2" w:rsidP="00FE508E">
      <w:r>
        <w:t>Figure 1 also extends the timeline to when NW releases the source cell for which UE takes another interruption after RRC processing. The length of this interruption also depends on the type of HO (intra-frequency, intra-band, …) and is also discussed in Section 2.3.</w:t>
      </w:r>
    </w:p>
    <w:p w14:paraId="77D0A408" w14:textId="1A31C8D6" w:rsidR="004323E2" w:rsidRDefault="004323E2" w:rsidP="00FE508E"/>
    <w:p w14:paraId="005F6B51" w14:textId="77777777" w:rsidR="0075466D" w:rsidRDefault="004323E2" w:rsidP="0075466D">
      <w:pPr>
        <w:keepNext/>
      </w:pPr>
      <w:r>
        <w:object w:dxaOrig="12305" w:dyaOrig="3046" w14:anchorId="21950E1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2pt;height:118.2pt" o:ole="">
            <v:imagedata r:id="rId8" o:title=""/>
          </v:shape>
          <o:OLEObject Type="Embed" ProgID="Visio.Drawing.11" ShapeID="_x0000_i1025" DrawAspect="Content" ObjectID="_1631709075" r:id="rId9"/>
        </w:object>
      </w:r>
    </w:p>
    <w:p w14:paraId="02F26C06" w14:textId="72D8B218" w:rsidR="004323E2" w:rsidRDefault="0075466D" w:rsidP="0075466D">
      <w:pPr>
        <w:pStyle w:val="Caption"/>
        <w:jc w:val="center"/>
      </w:pPr>
      <w:r>
        <w:t xml:space="preserve">Figure </w:t>
      </w:r>
      <w:r>
        <w:fldChar w:fldCharType="begin"/>
      </w:r>
      <w:r>
        <w:instrText xml:space="preserve"> SEQ Figure \* ARABIC </w:instrText>
      </w:r>
      <w:r>
        <w:fldChar w:fldCharType="separate"/>
      </w:r>
      <w:r>
        <w:rPr>
          <w:noProof/>
        </w:rPr>
        <w:t>1</w:t>
      </w:r>
      <w:r>
        <w:fldChar w:fldCharType="end"/>
      </w:r>
      <w:r>
        <w:t xml:space="preserve"> eMBB HO delay and timeline</w:t>
      </w:r>
    </w:p>
    <w:p w14:paraId="7E352F23" w14:textId="4F1F981A" w:rsidR="0075466D" w:rsidRDefault="00376B30" w:rsidP="0075466D">
      <w:r>
        <w:t>The time from PRACH to MSG2 (T</w:t>
      </w:r>
      <w:r w:rsidRPr="004323E2">
        <w:rPr>
          <w:vertAlign w:val="subscript"/>
        </w:rPr>
        <w:t>MSG2</w:t>
      </w:r>
      <w:r>
        <w:t>) can be formulated as:</w:t>
      </w:r>
    </w:p>
    <w:p w14:paraId="0A1AEFCC" w14:textId="1950C87E" w:rsidR="00376B30" w:rsidRPr="00376B30" w:rsidRDefault="005F0875" w:rsidP="0075466D">
      <m:oMathPara>
        <m:oMath>
          <m:sSub>
            <m:sSubPr>
              <m:ctrlPr>
                <w:rPr>
                  <w:rFonts w:ascii="Cambria Math" w:hAnsi="Cambria Math"/>
                  <w:i/>
                </w:rPr>
              </m:ctrlPr>
            </m:sSubPr>
            <m:e>
              <m:r>
                <w:rPr>
                  <w:rFonts w:ascii="Cambria Math" w:hAnsi="Cambria Math"/>
                </w:rPr>
                <m:t>T</m:t>
              </m:r>
            </m:e>
            <m:sub>
              <m:r>
                <w:rPr>
                  <w:rFonts w:ascii="Cambria Math" w:hAnsi="Cambria Math"/>
                </w:rPr>
                <m:t>MSG2</m:t>
              </m:r>
            </m:sub>
          </m:sSub>
          <m:r>
            <w:rPr>
              <w:rFonts w:ascii="Cambria Math" w:hAnsi="Cambria Math"/>
            </w:rPr>
            <m:t>=n</m:t>
          </m:r>
          <m:sSub>
            <m:sSubPr>
              <m:ctrlPr>
                <w:rPr>
                  <w:rFonts w:ascii="Cambria Math" w:hAnsi="Cambria Math"/>
                  <w:i/>
                </w:rPr>
              </m:ctrlPr>
            </m:sSubPr>
            <m:e>
              <m:r>
                <w:rPr>
                  <w:rFonts w:ascii="Cambria Math" w:hAnsi="Cambria Math"/>
                </w:rPr>
                <m:t>L</m:t>
              </m:r>
            </m:e>
            <m:sub>
              <m:r>
                <w:rPr>
                  <w:rFonts w:ascii="Cambria Math" w:hAnsi="Cambria Math"/>
                </w:rPr>
                <m:t>PRACH</m:t>
              </m:r>
            </m:sub>
          </m:sSub>
          <m:r>
            <w:rPr>
              <w:rFonts w:ascii="Cambria Math" w:hAnsi="Cambria Math"/>
            </w:rPr>
            <m:t>+</m:t>
          </m:r>
          <m:d>
            <m:dPr>
              <m:ctrlPr>
                <w:rPr>
                  <w:rFonts w:ascii="Cambria Math" w:hAnsi="Cambria Math"/>
                  <w:i/>
                </w:rPr>
              </m:ctrlPr>
            </m:dPr>
            <m:e>
              <m:r>
                <w:rPr>
                  <w:rFonts w:ascii="Cambria Math" w:hAnsi="Cambria Math"/>
                </w:rPr>
                <m:t>n-1</m:t>
              </m:r>
            </m:e>
          </m:d>
          <m:sSub>
            <m:sSubPr>
              <m:ctrlPr>
                <w:rPr>
                  <w:rFonts w:ascii="Cambria Math" w:hAnsi="Cambria Math"/>
                  <w:i/>
                </w:rPr>
              </m:ctrlPr>
            </m:sSubPr>
            <m:e>
              <m:r>
                <w:rPr>
                  <w:rFonts w:ascii="Cambria Math" w:hAnsi="Cambria Math"/>
                </w:rPr>
                <m:t>T</m:t>
              </m:r>
            </m:e>
            <m:sub>
              <m:r>
                <w:rPr>
                  <w:rFonts w:ascii="Cambria Math" w:hAnsi="Cambria Math"/>
                </w:rPr>
                <m:t>IU</m:t>
              </m:r>
            </m:sub>
          </m:sSub>
          <m:r>
            <w:rPr>
              <w:rFonts w:ascii="Cambria Math" w:hAnsi="Cambria Math"/>
            </w:rPr>
            <m:t>+n</m:t>
          </m:r>
          <m:sSub>
            <m:sSubPr>
              <m:ctrlPr>
                <w:rPr>
                  <w:rFonts w:ascii="Cambria Math" w:hAnsi="Cambria Math"/>
                  <w:i/>
                </w:rPr>
              </m:ctrlPr>
            </m:sSubPr>
            <m:e>
              <m:r>
                <w:rPr>
                  <w:rFonts w:ascii="Cambria Math" w:hAnsi="Cambria Math"/>
                </w:rPr>
                <m:t>T</m:t>
              </m:r>
            </m:e>
            <m:sub>
              <m:r>
                <w:rPr>
                  <w:rFonts w:ascii="Cambria Math" w:hAnsi="Cambria Math"/>
                </w:rPr>
                <m:t>RAR</m:t>
              </m:r>
            </m:sub>
          </m:sSub>
          <m:r>
            <w:rPr>
              <w:rFonts w:ascii="Cambria Math" w:hAnsi="Cambria Math"/>
            </w:rPr>
            <m:t>+</m:t>
          </m:r>
          <m:d>
            <m:dPr>
              <m:ctrlPr>
                <w:rPr>
                  <w:rFonts w:ascii="Cambria Math" w:hAnsi="Cambria Math"/>
                  <w:i/>
                </w:rPr>
              </m:ctrlPr>
            </m:dPr>
            <m:e>
              <m:r>
                <w:rPr>
                  <w:rFonts w:ascii="Cambria Math" w:hAnsi="Cambria Math"/>
                </w:rPr>
                <m:t>n-1</m:t>
              </m:r>
            </m:e>
          </m:d>
          <m:sSub>
            <m:sSubPr>
              <m:ctrlPr>
                <w:rPr>
                  <w:rFonts w:ascii="Cambria Math" w:hAnsi="Cambria Math"/>
                  <w:i/>
                </w:rPr>
              </m:ctrlPr>
            </m:sSubPr>
            <m:e>
              <m:r>
                <w:rPr>
                  <w:rFonts w:ascii="Cambria Math" w:hAnsi="Cambria Math"/>
                </w:rPr>
                <m:t>T</m:t>
              </m:r>
            </m:e>
            <m:sub>
              <m:r>
                <w:rPr>
                  <w:rFonts w:ascii="Cambria Math" w:hAnsi="Cambria Math"/>
                </w:rPr>
                <m:t>GAP</m:t>
              </m:r>
            </m:sub>
          </m:sSub>
        </m:oMath>
      </m:oMathPara>
    </w:p>
    <w:p w14:paraId="4B285141" w14:textId="79019013" w:rsidR="00376B30" w:rsidRDefault="00376B30" w:rsidP="0075466D">
      <w:r>
        <w:t xml:space="preserve">Where </w:t>
      </w:r>
      <m:oMath>
        <m:r>
          <w:rPr>
            <w:rFonts w:ascii="Cambria Math" w:hAnsi="Cambria Math"/>
          </w:rPr>
          <m:t>n</m:t>
        </m:r>
      </m:oMath>
      <w:r>
        <w:t xml:space="preserve"> is the number of RACH attempts, </w:t>
      </w:r>
      <m:oMath>
        <m:sSub>
          <m:sSubPr>
            <m:ctrlPr>
              <w:rPr>
                <w:rFonts w:ascii="Cambria Math" w:hAnsi="Cambria Math"/>
                <w:i/>
              </w:rPr>
            </m:ctrlPr>
          </m:sSubPr>
          <m:e>
            <m:r>
              <w:rPr>
                <w:rFonts w:ascii="Cambria Math" w:hAnsi="Cambria Math"/>
              </w:rPr>
              <m:t>L</m:t>
            </m:r>
          </m:e>
          <m:sub>
            <m:r>
              <w:rPr>
                <w:rFonts w:ascii="Cambria Math" w:hAnsi="Cambria Math"/>
              </w:rPr>
              <m:t>PRACH</m:t>
            </m:r>
          </m:sub>
        </m:sSub>
      </m:oMath>
      <w:r>
        <w:t xml:space="preserve"> is the duration of each RACH attempt, </w:t>
      </w:r>
      <m:oMath>
        <m:sSub>
          <m:sSubPr>
            <m:ctrlPr>
              <w:rPr>
                <w:rFonts w:ascii="Cambria Math" w:hAnsi="Cambria Math"/>
                <w:i/>
              </w:rPr>
            </m:ctrlPr>
          </m:sSubPr>
          <m:e>
            <m:r>
              <w:rPr>
                <w:rFonts w:ascii="Cambria Math" w:hAnsi="Cambria Math"/>
              </w:rPr>
              <m:t>T</m:t>
            </m:r>
          </m:e>
          <m:sub>
            <m:r>
              <w:rPr>
                <w:rFonts w:ascii="Cambria Math" w:hAnsi="Cambria Math"/>
              </w:rPr>
              <m:t>RAR</m:t>
            </m:r>
          </m:sub>
        </m:sSub>
      </m:oMath>
      <w:r>
        <w:t xml:space="preserve"> is the</w:t>
      </w:r>
      <w:r w:rsidR="00F90F07">
        <w:t xml:space="preserve"> </w:t>
      </w:r>
      <w:r w:rsidR="00F90F07" w:rsidRPr="00F90F07">
        <w:rPr>
          <w:i/>
          <w:iCs/>
        </w:rPr>
        <w:t>ra-ResponseWindow</w:t>
      </w:r>
      <w:r w:rsidR="00F90F07">
        <w:rPr>
          <w:i/>
          <w:iCs/>
        </w:rPr>
        <w:t xml:space="preserve"> </w:t>
      </w:r>
      <w:r w:rsidR="00F90F07" w:rsidRPr="00F90F07">
        <w:t>which is part of RACH configuration</w:t>
      </w:r>
      <w:r w:rsidR="00F90F07">
        <w:rPr>
          <w:i/>
          <w:iCs/>
        </w:rPr>
        <w:t xml:space="preserve"> </w:t>
      </w:r>
      <w:r w:rsidR="00F90F07">
        <w:t xml:space="preserve">and </w:t>
      </w:r>
      <m:oMath>
        <m:sSub>
          <m:sSubPr>
            <m:ctrlPr>
              <w:rPr>
                <w:rFonts w:ascii="Cambria Math" w:hAnsi="Cambria Math"/>
                <w:i/>
              </w:rPr>
            </m:ctrlPr>
          </m:sSubPr>
          <m:e>
            <m:r>
              <w:rPr>
                <w:rFonts w:ascii="Cambria Math" w:hAnsi="Cambria Math"/>
              </w:rPr>
              <m:t>T</m:t>
            </m:r>
          </m:e>
          <m:sub>
            <m:r>
              <w:rPr>
                <w:rFonts w:ascii="Cambria Math" w:hAnsi="Cambria Math"/>
              </w:rPr>
              <m:t>GAP</m:t>
            </m:r>
          </m:sub>
        </m:sSub>
      </m:oMath>
      <w:r w:rsidR="00F90F07">
        <w:t xml:space="preserve"> is the gap between expiration of RAR window and the next PRACH transmission. This gap is defined in TS 38.213 clause 8.2 as: </w:t>
      </w:r>
    </w:p>
    <w:p w14:paraId="4C01285B" w14:textId="586CC1BE" w:rsidR="00F90F07" w:rsidRPr="00F90F07" w:rsidRDefault="005F0875" w:rsidP="0075466D">
      <m:oMathPara>
        <m:oMath>
          <m:sSub>
            <m:sSubPr>
              <m:ctrlPr>
                <w:rPr>
                  <w:rFonts w:ascii="Cambria Math" w:hAnsi="Cambria Math"/>
                  <w:i/>
                </w:rPr>
              </m:ctrlPr>
            </m:sSubPr>
            <m:e>
              <m:r>
                <w:rPr>
                  <w:rFonts w:ascii="Cambria Math" w:hAnsi="Cambria Math"/>
                </w:rPr>
                <m:t>T</m:t>
              </m:r>
            </m:e>
            <m:sub>
              <m:r>
                <w:rPr>
                  <w:rFonts w:ascii="Cambria Math" w:hAnsi="Cambria Math"/>
                </w:rPr>
                <m:t>GAP</m:t>
              </m:r>
            </m:sub>
          </m:sSub>
          <m:r>
            <w:rPr>
              <w:rFonts w:ascii="Cambria Math" w:hAnsi="Cambria Math"/>
            </w:rPr>
            <m:t xml:space="preserve">= </m:t>
          </m:r>
          <m:sSub>
            <m:sSubPr>
              <m:ctrlPr>
                <w:rPr>
                  <w:rFonts w:ascii="Cambria Math" w:hAnsi="Cambria Math"/>
                  <w:i/>
                </w:rPr>
              </m:ctrlPr>
            </m:sSubPr>
            <m:e>
              <m:r>
                <w:rPr>
                  <w:rFonts w:ascii="Cambria Math" w:hAnsi="Cambria Math"/>
                </w:rPr>
                <m:t>N</m:t>
              </m:r>
            </m:e>
            <m:sub>
              <m:r>
                <w:rPr>
                  <w:rFonts w:ascii="Cambria Math" w:hAnsi="Cambria Math"/>
                </w:rPr>
                <m:t>T,1</m:t>
              </m:r>
            </m:sub>
          </m:sSub>
          <m:r>
            <w:rPr>
              <w:rFonts w:ascii="Cambria Math" w:hAnsi="Cambria Math"/>
            </w:rPr>
            <m:t>+0.75ms</m:t>
          </m:r>
        </m:oMath>
      </m:oMathPara>
    </w:p>
    <w:p w14:paraId="3D304F45" w14:textId="308095FE" w:rsidR="00F90F07" w:rsidRDefault="00F90F07" w:rsidP="0075466D">
      <w:r>
        <w:t xml:space="preserve">Where </w:t>
      </w:r>
      <m:oMath>
        <m:sSub>
          <m:sSubPr>
            <m:ctrlPr>
              <w:rPr>
                <w:rFonts w:ascii="Cambria Math" w:hAnsi="Cambria Math"/>
                <w:i/>
              </w:rPr>
            </m:ctrlPr>
          </m:sSubPr>
          <m:e>
            <m:r>
              <w:rPr>
                <w:rFonts w:ascii="Cambria Math" w:hAnsi="Cambria Math"/>
              </w:rPr>
              <m:t>N</m:t>
            </m:r>
          </m:e>
          <m:sub>
            <m:r>
              <w:rPr>
                <w:rFonts w:ascii="Cambria Math" w:hAnsi="Cambria Math"/>
              </w:rPr>
              <m:t>T,1</m:t>
            </m:r>
          </m:sub>
        </m:sSub>
      </m:oMath>
      <w:r>
        <w:t xml:space="preserve"> is a time duration of symbols corresponding to a PDSCH reception time for UE processing capability 1 when additional PDSCH DM-RS is configured.</w:t>
      </w:r>
    </w:p>
    <w:p w14:paraId="00220DB4" w14:textId="4D244AF1" w:rsidR="00F90F07" w:rsidRDefault="00F90F07" w:rsidP="00F90F07">
      <w:r>
        <w:t>The time from MSG2 to MSG3 (T</w:t>
      </w:r>
      <w:r w:rsidRPr="004323E2">
        <w:rPr>
          <w:vertAlign w:val="subscript"/>
        </w:rPr>
        <w:t>MSG</w:t>
      </w:r>
      <w:r>
        <w:rPr>
          <w:vertAlign w:val="subscript"/>
        </w:rPr>
        <w:t>3</w:t>
      </w:r>
      <w:r>
        <w:t>) can be formulated as:</w:t>
      </w:r>
    </w:p>
    <w:p w14:paraId="50071155" w14:textId="5D96890E" w:rsidR="00F90F07" w:rsidRDefault="005F0875" w:rsidP="0075466D">
      <m:oMathPara>
        <m:oMath>
          <m:sSub>
            <m:sSubPr>
              <m:ctrlPr>
                <w:rPr>
                  <w:rFonts w:ascii="Cambria Math" w:hAnsi="Cambria Math"/>
                  <w:i/>
                </w:rPr>
              </m:ctrlPr>
            </m:sSubPr>
            <m:e>
              <m:r>
                <w:rPr>
                  <w:rFonts w:ascii="Cambria Math" w:hAnsi="Cambria Math"/>
                </w:rPr>
                <m:t>T</m:t>
              </m:r>
            </m:e>
            <m:sub>
              <m:r>
                <w:rPr>
                  <w:rFonts w:ascii="Cambria Math" w:hAnsi="Cambria Math"/>
                </w:rPr>
                <m:t>MSG3</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 ∆</m:t>
          </m:r>
        </m:oMath>
      </m:oMathPara>
    </w:p>
    <w:p w14:paraId="53EC6F8F" w14:textId="75F4158E" w:rsidR="00F90F07" w:rsidRDefault="00F90F07" w:rsidP="0075466D">
      <w:r>
        <w:t xml:space="preserve">Where </w:t>
      </w:r>
      <m:oMath>
        <m:sSub>
          <m:sSubPr>
            <m:ctrlPr>
              <w:rPr>
                <w:rFonts w:ascii="Cambria Math" w:hAnsi="Cambria Math"/>
                <w:i/>
              </w:rPr>
            </m:ctrlPr>
          </m:sSubPr>
          <m:e>
            <m:r>
              <w:rPr>
                <w:rFonts w:ascii="Cambria Math" w:hAnsi="Cambria Math"/>
              </w:rPr>
              <m:t>K</m:t>
            </m:r>
          </m:e>
          <m:sub>
            <m:r>
              <w:rPr>
                <w:rFonts w:ascii="Cambria Math" w:hAnsi="Cambria Math"/>
              </w:rPr>
              <m:t>2</m:t>
            </m:r>
          </m:sub>
        </m:sSub>
      </m:oMath>
      <w:r>
        <w:t xml:space="preserve"> is defined in TS 38.214 clause 6.1.2.1 and Δ is defined in Table 6.1.2.1.1-5 of TS 38.214. </w:t>
      </w:r>
    </w:p>
    <w:p w14:paraId="1B06537F" w14:textId="0832759F" w:rsidR="00A07530" w:rsidRPr="00A07530" w:rsidRDefault="00A07530" w:rsidP="00A07530">
      <w:pPr>
        <w:rPr>
          <w:b/>
          <w:bCs/>
        </w:rPr>
      </w:pPr>
      <w:r w:rsidRPr="00A07530">
        <w:rPr>
          <w:b/>
          <w:bCs/>
        </w:rPr>
        <w:t xml:space="preserve">Proposal 2. The eMBB HO delay to have two extra terms </w:t>
      </w:r>
      <m:oMath>
        <m:sSub>
          <m:sSubPr>
            <m:ctrlPr>
              <w:rPr>
                <w:rFonts w:ascii="Cambria Math" w:hAnsi="Cambria Math"/>
                <w:b/>
                <w:bCs/>
                <w:i/>
              </w:rPr>
            </m:ctrlPr>
          </m:sSubPr>
          <m:e>
            <m:r>
              <m:rPr>
                <m:sty m:val="bi"/>
              </m:rPr>
              <w:rPr>
                <w:rFonts w:ascii="Cambria Math" w:hAnsi="Cambria Math"/>
              </w:rPr>
              <m:t>T</m:t>
            </m:r>
          </m:e>
          <m:sub>
            <m:r>
              <m:rPr>
                <m:sty m:val="bi"/>
              </m:rPr>
              <w:rPr>
                <w:rFonts w:ascii="Cambria Math" w:hAnsi="Cambria Math"/>
              </w:rPr>
              <m:t>MSG</m:t>
            </m:r>
            <m:r>
              <m:rPr>
                <m:sty m:val="bi"/>
              </m:rPr>
              <w:rPr>
                <w:rFonts w:ascii="Cambria Math" w:hAnsi="Cambria Math"/>
              </w:rPr>
              <m:t>2</m:t>
            </m:r>
          </m:sub>
        </m:sSub>
      </m:oMath>
      <w:r w:rsidRPr="00A07530">
        <w:rPr>
          <w:b/>
          <w:bCs/>
        </w:rPr>
        <w:t xml:space="preserve"> and </w:t>
      </w:r>
      <m:oMath>
        <m:sSub>
          <m:sSubPr>
            <m:ctrlPr>
              <w:rPr>
                <w:rFonts w:ascii="Cambria Math" w:hAnsi="Cambria Math"/>
                <w:b/>
                <w:bCs/>
                <w:i/>
              </w:rPr>
            </m:ctrlPr>
          </m:sSubPr>
          <m:e>
            <m:r>
              <m:rPr>
                <m:sty m:val="bi"/>
              </m:rPr>
              <w:rPr>
                <w:rFonts w:ascii="Cambria Math" w:hAnsi="Cambria Math"/>
              </w:rPr>
              <m:t>T</m:t>
            </m:r>
          </m:e>
          <m:sub>
            <m:r>
              <m:rPr>
                <m:sty m:val="bi"/>
              </m:rPr>
              <w:rPr>
                <w:rFonts w:ascii="Cambria Math" w:hAnsi="Cambria Math"/>
              </w:rPr>
              <m:t>MSG</m:t>
            </m:r>
            <m:r>
              <m:rPr>
                <m:sty m:val="bi"/>
              </m:rPr>
              <w:rPr>
                <w:rFonts w:ascii="Cambria Math" w:hAnsi="Cambria Math"/>
              </w:rPr>
              <m:t>3</m:t>
            </m:r>
          </m:sub>
        </m:sSub>
      </m:oMath>
      <w:r w:rsidRPr="00A07530">
        <w:rPr>
          <w:b/>
          <w:bCs/>
        </w:rPr>
        <w:t xml:space="preserve"> compared to legacy HO to account for end point being extended to the start of first PUSCH transmission scheduled by RAR: </w:t>
      </w:r>
    </w:p>
    <w:p w14:paraId="04F2E872" w14:textId="77777777" w:rsidR="00A07530" w:rsidRPr="00A07530" w:rsidRDefault="00A07530" w:rsidP="00A07530">
      <w:pPr>
        <w:pStyle w:val="ListParagraph"/>
        <w:numPr>
          <w:ilvl w:val="0"/>
          <w:numId w:val="40"/>
        </w:numPr>
        <w:rPr>
          <w:b/>
          <w:bCs/>
          <w:sz w:val="20"/>
          <w:szCs w:val="20"/>
        </w:rPr>
      </w:pPr>
      <w:r w:rsidRPr="00A07530">
        <w:rPr>
          <w:b/>
          <w:bCs/>
          <w:sz w:val="20"/>
          <w:szCs w:val="20"/>
        </w:rPr>
        <w:t>The time from PRACH to MSG2 (T</w:t>
      </w:r>
      <w:r w:rsidRPr="00A07530">
        <w:rPr>
          <w:b/>
          <w:bCs/>
          <w:sz w:val="20"/>
          <w:szCs w:val="20"/>
          <w:vertAlign w:val="subscript"/>
        </w:rPr>
        <w:t>MSG2</w:t>
      </w:r>
      <w:r w:rsidRPr="00A07530">
        <w:rPr>
          <w:b/>
          <w:bCs/>
          <w:sz w:val="20"/>
          <w:szCs w:val="20"/>
        </w:rPr>
        <w:t>) can be formulated as:</w:t>
      </w:r>
    </w:p>
    <w:p w14:paraId="3A17CD29" w14:textId="77777777" w:rsidR="00A07530" w:rsidRPr="00A07530" w:rsidRDefault="005F0875" w:rsidP="00A07530">
      <w:pPr>
        <w:rPr>
          <w:b/>
          <w:bCs/>
        </w:rPr>
      </w:pPr>
      <m:oMathPara>
        <m:oMath>
          <m:sSub>
            <m:sSubPr>
              <m:ctrlPr>
                <w:rPr>
                  <w:rFonts w:ascii="Cambria Math" w:hAnsi="Cambria Math"/>
                  <w:b/>
                  <w:bCs/>
                  <w:i/>
                </w:rPr>
              </m:ctrlPr>
            </m:sSubPr>
            <m:e>
              <m:r>
                <m:rPr>
                  <m:sty m:val="bi"/>
                </m:rPr>
                <w:rPr>
                  <w:rFonts w:ascii="Cambria Math" w:hAnsi="Cambria Math"/>
                </w:rPr>
                <m:t>T</m:t>
              </m:r>
            </m:e>
            <m:sub>
              <m:r>
                <m:rPr>
                  <m:sty m:val="bi"/>
                </m:rPr>
                <w:rPr>
                  <w:rFonts w:ascii="Cambria Math" w:hAnsi="Cambria Math"/>
                </w:rPr>
                <m:t>MSG</m:t>
              </m:r>
              <m:r>
                <m:rPr>
                  <m:sty m:val="bi"/>
                </m:rPr>
                <w:rPr>
                  <w:rFonts w:ascii="Cambria Math" w:hAnsi="Cambria Math"/>
                </w:rPr>
                <m:t>2</m:t>
              </m:r>
            </m:sub>
          </m:sSub>
          <m:r>
            <m:rPr>
              <m:sty m:val="bi"/>
            </m:rPr>
            <w:rPr>
              <w:rFonts w:ascii="Cambria Math" w:hAnsi="Cambria Math"/>
            </w:rPr>
            <m:t>=n</m:t>
          </m:r>
          <m:sSub>
            <m:sSubPr>
              <m:ctrlPr>
                <w:rPr>
                  <w:rFonts w:ascii="Cambria Math" w:hAnsi="Cambria Math"/>
                  <w:b/>
                  <w:bCs/>
                  <w:i/>
                </w:rPr>
              </m:ctrlPr>
            </m:sSubPr>
            <m:e>
              <m:r>
                <m:rPr>
                  <m:sty m:val="bi"/>
                </m:rPr>
                <w:rPr>
                  <w:rFonts w:ascii="Cambria Math" w:hAnsi="Cambria Math"/>
                </w:rPr>
                <m:t>L</m:t>
              </m:r>
            </m:e>
            <m:sub>
              <m:r>
                <m:rPr>
                  <m:sty m:val="bi"/>
                </m:rPr>
                <w:rPr>
                  <w:rFonts w:ascii="Cambria Math" w:hAnsi="Cambria Math"/>
                </w:rPr>
                <m:t>PRACH</m:t>
              </m:r>
            </m:sub>
          </m:sSub>
          <m:r>
            <m:rPr>
              <m:sty m:val="bi"/>
            </m:rPr>
            <w:rPr>
              <w:rFonts w:ascii="Cambria Math" w:hAnsi="Cambria Math"/>
            </w:rPr>
            <m:t>+</m:t>
          </m:r>
          <m:d>
            <m:dPr>
              <m:ctrlPr>
                <w:rPr>
                  <w:rFonts w:ascii="Cambria Math" w:hAnsi="Cambria Math"/>
                  <w:b/>
                  <w:bCs/>
                  <w:i/>
                </w:rPr>
              </m:ctrlPr>
            </m:dPr>
            <m:e>
              <m:r>
                <m:rPr>
                  <m:sty m:val="bi"/>
                </m:rPr>
                <w:rPr>
                  <w:rFonts w:ascii="Cambria Math" w:hAnsi="Cambria Math"/>
                </w:rPr>
                <m:t>n-1</m:t>
              </m:r>
            </m:e>
          </m:d>
          <m:sSub>
            <m:sSubPr>
              <m:ctrlPr>
                <w:rPr>
                  <w:rFonts w:ascii="Cambria Math" w:hAnsi="Cambria Math"/>
                  <w:b/>
                  <w:bCs/>
                  <w:i/>
                </w:rPr>
              </m:ctrlPr>
            </m:sSubPr>
            <m:e>
              <m:r>
                <m:rPr>
                  <m:sty m:val="bi"/>
                </m:rPr>
                <w:rPr>
                  <w:rFonts w:ascii="Cambria Math" w:hAnsi="Cambria Math"/>
                </w:rPr>
                <m:t>T</m:t>
              </m:r>
            </m:e>
            <m:sub>
              <m:r>
                <m:rPr>
                  <m:sty m:val="bi"/>
                </m:rPr>
                <w:rPr>
                  <w:rFonts w:ascii="Cambria Math" w:hAnsi="Cambria Math"/>
                </w:rPr>
                <m:t>IU</m:t>
              </m:r>
            </m:sub>
          </m:sSub>
          <m:r>
            <m:rPr>
              <m:sty m:val="bi"/>
            </m:rPr>
            <w:rPr>
              <w:rFonts w:ascii="Cambria Math" w:hAnsi="Cambria Math"/>
            </w:rPr>
            <m:t>+n</m:t>
          </m:r>
          <m:sSub>
            <m:sSubPr>
              <m:ctrlPr>
                <w:rPr>
                  <w:rFonts w:ascii="Cambria Math" w:hAnsi="Cambria Math"/>
                  <w:b/>
                  <w:bCs/>
                  <w:i/>
                </w:rPr>
              </m:ctrlPr>
            </m:sSubPr>
            <m:e>
              <m:r>
                <m:rPr>
                  <m:sty m:val="bi"/>
                </m:rPr>
                <w:rPr>
                  <w:rFonts w:ascii="Cambria Math" w:hAnsi="Cambria Math"/>
                </w:rPr>
                <m:t>T</m:t>
              </m:r>
            </m:e>
            <m:sub>
              <m:r>
                <m:rPr>
                  <m:sty m:val="bi"/>
                </m:rPr>
                <w:rPr>
                  <w:rFonts w:ascii="Cambria Math" w:hAnsi="Cambria Math"/>
                </w:rPr>
                <m:t>RAR</m:t>
              </m:r>
            </m:sub>
          </m:sSub>
          <m:r>
            <m:rPr>
              <m:sty m:val="bi"/>
            </m:rPr>
            <w:rPr>
              <w:rFonts w:ascii="Cambria Math" w:hAnsi="Cambria Math"/>
            </w:rPr>
            <m:t>+</m:t>
          </m:r>
          <m:d>
            <m:dPr>
              <m:ctrlPr>
                <w:rPr>
                  <w:rFonts w:ascii="Cambria Math" w:hAnsi="Cambria Math"/>
                  <w:b/>
                  <w:bCs/>
                  <w:i/>
                </w:rPr>
              </m:ctrlPr>
            </m:dPr>
            <m:e>
              <m:r>
                <m:rPr>
                  <m:sty m:val="bi"/>
                </m:rPr>
                <w:rPr>
                  <w:rFonts w:ascii="Cambria Math" w:hAnsi="Cambria Math"/>
                </w:rPr>
                <m:t>n-1</m:t>
              </m:r>
            </m:e>
          </m:d>
          <m:sSub>
            <m:sSubPr>
              <m:ctrlPr>
                <w:rPr>
                  <w:rFonts w:ascii="Cambria Math" w:hAnsi="Cambria Math"/>
                  <w:b/>
                  <w:bCs/>
                  <w:i/>
                </w:rPr>
              </m:ctrlPr>
            </m:sSubPr>
            <m:e>
              <m:r>
                <m:rPr>
                  <m:sty m:val="bi"/>
                </m:rPr>
                <w:rPr>
                  <w:rFonts w:ascii="Cambria Math" w:hAnsi="Cambria Math"/>
                </w:rPr>
                <m:t>T</m:t>
              </m:r>
            </m:e>
            <m:sub>
              <m:r>
                <m:rPr>
                  <m:sty m:val="bi"/>
                </m:rPr>
                <w:rPr>
                  <w:rFonts w:ascii="Cambria Math" w:hAnsi="Cambria Math"/>
                </w:rPr>
                <m:t>GAP</m:t>
              </m:r>
            </m:sub>
          </m:sSub>
        </m:oMath>
      </m:oMathPara>
    </w:p>
    <w:p w14:paraId="2E6946C1" w14:textId="0C97E423" w:rsidR="00A07530" w:rsidRPr="00A07530" w:rsidRDefault="00A07530" w:rsidP="00A07530">
      <w:pPr>
        <w:rPr>
          <w:b/>
          <w:bCs/>
        </w:rPr>
      </w:pPr>
      <w:r w:rsidRPr="00A07530">
        <w:rPr>
          <w:b/>
          <w:bCs/>
        </w:rPr>
        <w:t xml:space="preserve">Where </w:t>
      </w:r>
      <m:oMath>
        <m:r>
          <m:rPr>
            <m:sty m:val="bi"/>
          </m:rPr>
          <w:rPr>
            <w:rFonts w:ascii="Cambria Math" w:hAnsi="Cambria Math"/>
          </w:rPr>
          <m:t>n</m:t>
        </m:r>
      </m:oMath>
      <w:r w:rsidRPr="00A07530">
        <w:rPr>
          <w:b/>
          <w:bCs/>
        </w:rPr>
        <w:t xml:space="preserve"> is the number of RACH attempts, </w:t>
      </w:r>
      <m:oMath>
        <m:sSub>
          <m:sSubPr>
            <m:ctrlPr>
              <w:rPr>
                <w:rFonts w:ascii="Cambria Math" w:hAnsi="Cambria Math"/>
                <w:b/>
                <w:bCs/>
                <w:i/>
              </w:rPr>
            </m:ctrlPr>
          </m:sSubPr>
          <m:e>
            <m:r>
              <m:rPr>
                <m:sty m:val="bi"/>
              </m:rPr>
              <w:rPr>
                <w:rFonts w:ascii="Cambria Math" w:hAnsi="Cambria Math"/>
              </w:rPr>
              <m:t>L</m:t>
            </m:r>
          </m:e>
          <m:sub>
            <m:r>
              <m:rPr>
                <m:sty m:val="bi"/>
              </m:rPr>
              <w:rPr>
                <w:rFonts w:ascii="Cambria Math" w:hAnsi="Cambria Math"/>
              </w:rPr>
              <m:t>PRACH</m:t>
            </m:r>
          </m:sub>
        </m:sSub>
      </m:oMath>
      <w:r w:rsidRPr="00A07530">
        <w:rPr>
          <w:b/>
          <w:bCs/>
        </w:rPr>
        <w:t xml:space="preserve"> is the duration of each RACH attempt, </w:t>
      </w:r>
      <m:oMath>
        <m:sSub>
          <m:sSubPr>
            <m:ctrlPr>
              <w:rPr>
                <w:rFonts w:ascii="Cambria Math" w:hAnsi="Cambria Math"/>
                <w:b/>
                <w:bCs/>
                <w:i/>
              </w:rPr>
            </m:ctrlPr>
          </m:sSubPr>
          <m:e>
            <m:r>
              <m:rPr>
                <m:sty m:val="bi"/>
              </m:rPr>
              <w:rPr>
                <w:rFonts w:ascii="Cambria Math" w:hAnsi="Cambria Math"/>
              </w:rPr>
              <m:t>T</m:t>
            </m:r>
          </m:e>
          <m:sub>
            <m:r>
              <m:rPr>
                <m:sty m:val="bi"/>
              </m:rPr>
              <w:rPr>
                <w:rFonts w:ascii="Cambria Math" w:hAnsi="Cambria Math"/>
              </w:rPr>
              <m:t>RAR</m:t>
            </m:r>
          </m:sub>
        </m:sSub>
      </m:oMath>
      <w:r w:rsidRPr="00A07530">
        <w:rPr>
          <w:b/>
          <w:bCs/>
        </w:rPr>
        <w:t xml:space="preserve"> is the </w:t>
      </w:r>
      <w:r w:rsidRPr="00A07530">
        <w:rPr>
          <w:b/>
          <w:bCs/>
          <w:i/>
          <w:iCs/>
        </w:rPr>
        <w:t xml:space="preserve">ra-ResponseWindow </w:t>
      </w:r>
      <w:r w:rsidRPr="00A07530">
        <w:rPr>
          <w:b/>
          <w:bCs/>
        </w:rPr>
        <w:t>which is part of RACH configuration</w:t>
      </w:r>
      <w:r w:rsidRPr="00A07530">
        <w:rPr>
          <w:b/>
          <w:bCs/>
          <w:i/>
          <w:iCs/>
        </w:rPr>
        <w:t xml:space="preserve"> </w:t>
      </w:r>
      <w:r w:rsidRPr="00A07530">
        <w:rPr>
          <w:b/>
          <w:bCs/>
        </w:rPr>
        <w:t xml:space="preserve">and </w:t>
      </w:r>
      <m:oMath>
        <m:sSub>
          <m:sSubPr>
            <m:ctrlPr>
              <w:rPr>
                <w:rFonts w:ascii="Cambria Math" w:hAnsi="Cambria Math"/>
                <w:b/>
                <w:bCs/>
                <w:i/>
              </w:rPr>
            </m:ctrlPr>
          </m:sSubPr>
          <m:e>
            <m:r>
              <m:rPr>
                <m:sty m:val="bi"/>
              </m:rPr>
              <w:rPr>
                <w:rFonts w:ascii="Cambria Math" w:hAnsi="Cambria Math"/>
              </w:rPr>
              <m:t>T</m:t>
            </m:r>
          </m:e>
          <m:sub>
            <m:r>
              <m:rPr>
                <m:sty m:val="bi"/>
              </m:rPr>
              <w:rPr>
                <w:rFonts w:ascii="Cambria Math" w:hAnsi="Cambria Math"/>
              </w:rPr>
              <m:t>GAP</m:t>
            </m:r>
          </m:sub>
        </m:sSub>
      </m:oMath>
      <w:r w:rsidRPr="00A07530">
        <w:rPr>
          <w:b/>
          <w:bCs/>
        </w:rPr>
        <w:t xml:space="preserve"> is the gap between expiration of RAR window and the next PRACH transmission. This gap is defined in TS 38.213 clause 8.2 as: </w:t>
      </w:r>
    </w:p>
    <w:p w14:paraId="17CC2C2A" w14:textId="6A68AF74" w:rsidR="00A07530" w:rsidRPr="00A07530" w:rsidRDefault="005F0875" w:rsidP="00A07530">
      <w:pPr>
        <w:rPr>
          <w:b/>
          <w:bCs/>
        </w:rPr>
      </w:pPr>
      <m:oMathPara>
        <m:oMath>
          <m:sSub>
            <m:sSubPr>
              <m:ctrlPr>
                <w:rPr>
                  <w:rFonts w:ascii="Cambria Math" w:hAnsi="Cambria Math"/>
                  <w:b/>
                  <w:bCs/>
                  <w:i/>
                </w:rPr>
              </m:ctrlPr>
            </m:sSubPr>
            <m:e>
              <m:r>
                <m:rPr>
                  <m:sty m:val="bi"/>
                </m:rPr>
                <w:rPr>
                  <w:rFonts w:ascii="Cambria Math" w:hAnsi="Cambria Math"/>
                </w:rPr>
                <m:t>T</m:t>
              </m:r>
            </m:e>
            <m:sub>
              <m:r>
                <m:rPr>
                  <m:sty m:val="bi"/>
                </m:rPr>
                <w:rPr>
                  <w:rFonts w:ascii="Cambria Math" w:hAnsi="Cambria Math"/>
                </w:rPr>
                <m:t>GAP</m:t>
              </m:r>
            </m:sub>
          </m:sSub>
          <m:r>
            <m:rPr>
              <m:sty m:val="bi"/>
            </m:rPr>
            <w:rPr>
              <w:rFonts w:ascii="Cambria Math" w:hAnsi="Cambria Math"/>
            </w:rPr>
            <m:t xml:space="preserve">= </m:t>
          </m:r>
          <m:sSub>
            <m:sSubPr>
              <m:ctrlPr>
                <w:rPr>
                  <w:rFonts w:ascii="Cambria Math" w:hAnsi="Cambria Math"/>
                  <w:b/>
                  <w:bCs/>
                  <w:i/>
                </w:rPr>
              </m:ctrlPr>
            </m:sSubPr>
            <m:e>
              <m:r>
                <m:rPr>
                  <m:sty m:val="bi"/>
                </m:rPr>
                <w:rPr>
                  <w:rFonts w:ascii="Cambria Math" w:hAnsi="Cambria Math"/>
                </w:rPr>
                <m:t>N</m:t>
              </m:r>
            </m:e>
            <m:sub>
              <m:r>
                <m:rPr>
                  <m:sty m:val="bi"/>
                </m:rPr>
                <w:rPr>
                  <w:rFonts w:ascii="Cambria Math" w:hAnsi="Cambria Math"/>
                </w:rPr>
                <m:t>T,1</m:t>
              </m:r>
            </m:sub>
          </m:sSub>
          <m:r>
            <m:rPr>
              <m:sty m:val="bi"/>
            </m:rPr>
            <w:rPr>
              <w:rFonts w:ascii="Cambria Math" w:hAnsi="Cambria Math"/>
            </w:rPr>
            <m:t>+0.75</m:t>
          </m:r>
          <m:r>
            <m:rPr>
              <m:sty m:val="bi"/>
            </m:rPr>
            <w:rPr>
              <w:rFonts w:ascii="Cambria Math" w:hAnsi="Cambria Math"/>
            </w:rPr>
            <m:t>ms</m:t>
          </m:r>
        </m:oMath>
      </m:oMathPara>
    </w:p>
    <w:p w14:paraId="0EC6F6C4" w14:textId="2CC17A7F" w:rsidR="00A07530" w:rsidRPr="00A07530" w:rsidRDefault="00A07530" w:rsidP="00A07530">
      <w:pPr>
        <w:rPr>
          <w:b/>
          <w:bCs/>
        </w:rPr>
      </w:pPr>
      <w:r w:rsidRPr="00A07530">
        <w:rPr>
          <w:b/>
          <w:bCs/>
        </w:rPr>
        <w:t xml:space="preserve">Where </w:t>
      </w:r>
      <m:oMath>
        <m:sSub>
          <m:sSubPr>
            <m:ctrlPr>
              <w:rPr>
                <w:rFonts w:ascii="Cambria Math" w:hAnsi="Cambria Math"/>
                <w:b/>
                <w:bCs/>
                <w:i/>
              </w:rPr>
            </m:ctrlPr>
          </m:sSubPr>
          <m:e>
            <m:r>
              <m:rPr>
                <m:sty m:val="bi"/>
              </m:rPr>
              <w:rPr>
                <w:rFonts w:ascii="Cambria Math" w:hAnsi="Cambria Math"/>
              </w:rPr>
              <m:t>N</m:t>
            </m:r>
          </m:e>
          <m:sub>
            <m:r>
              <m:rPr>
                <m:sty m:val="bi"/>
              </m:rPr>
              <w:rPr>
                <w:rFonts w:ascii="Cambria Math" w:hAnsi="Cambria Math"/>
              </w:rPr>
              <m:t>T,1</m:t>
            </m:r>
          </m:sub>
        </m:sSub>
      </m:oMath>
      <w:r w:rsidRPr="00A07530">
        <w:rPr>
          <w:b/>
          <w:bCs/>
        </w:rPr>
        <w:t xml:space="preserve"> is a time duration of symbols corresponding to a PDSCH reception time for UE processing capability 1 when additional PDSCH DM-RS is configured.</w:t>
      </w:r>
    </w:p>
    <w:p w14:paraId="01F576D4" w14:textId="77777777" w:rsidR="00A07530" w:rsidRPr="00A07530" w:rsidRDefault="00A07530" w:rsidP="00A07530">
      <w:pPr>
        <w:pStyle w:val="ListParagraph"/>
        <w:numPr>
          <w:ilvl w:val="0"/>
          <w:numId w:val="40"/>
        </w:numPr>
        <w:rPr>
          <w:b/>
          <w:bCs/>
          <w:sz w:val="20"/>
          <w:szCs w:val="20"/>
        </w:rPr>
      </w:pPr>
      <w:r w:rsidRPr="00A07530">
        <w:rPr>
          <w:b/>
          <w:bCs/>
          <w:sz w:val="20"/>
          <w:szCs w:val="20"/>
        </w:rPr>
        <w:t>The time from MSG2 to MSG3 (T</w:t>
      </w:r>
      <w:r w:rsidRPr="00A07530">
        <w:rPr>
          <w:b/>
          <w:bCs/>
          <w:sz w:val="20"/>
          <w:szCs w:val="20"/>
          <w:vertAlign w:val="subscript"/>
        </w:rPr>
        <w:t>MSG3</w:t>
      </w:r>
      <w:r w:rsidRPr="00A07530">
        <w:rPr>
          <w:b/>
          <w:bCs/>
          <w:sz w:val="20"/>
          <w:szCs w:val="20"/>
        </w:rPr>
        <w:t>) can be formulated as:</w:t>
      </w:r>
    </w:p>
    <w:p w14:paraId="40DC4A47" w14:textId="3E25F159" w:rsidR="00A07530" w:rsidRPr="00A07530" w:rsidRDefault="005F0875" w:rsidP="00A07530">
      <w:pPr>
        <w:rPr>
          <w:b/>
          <w:bCs/>
        </w:rPr>
      </w:pPr>
      <m:oMathPara>
        <m:oMath>
          <m:sSub>
            <m:sSubPr>
              <m:ctrlPr>
                <w:rPr>
                  <w:rFonts w:ascii="Cambria Math" w:hAnsi="Cambria Math"/>
                  <w:b/>
                  <w:bCs/>
                  <w:i/>
                </w:rPr>
              </m:ctrlPr>
            </m:sSubPr>
            <m:e>
              <m:r>
                <m:rPr>
                  <m:sty m:val="bi"/>
                </m:rPr>
                <w:rPr>
                  <w:rFonts w:ascii="Cambria Math" w:hAnsi="Cambria Math"/>
                </w:rPr>
                <m:t>T</m:t>
              </m:r>
            </m:e>
            <m:sub>
              <m:r>
                <m:rPr>
                  <m:sty m:val="bi"/>
                </m:rPr>
                <w:rPr>
                  <w:rFonts w:ascii="Cambria Math" w:hAnsi="Cambria Math"/>
                </w:rPr>
                <m:t>MSG</m:t>
              </m:r>
              <m:r>
                <m:rPr>
                  <m:sty m:val="bi"/>
                </m:rPr>
                <w:rPr>
                  <w:rFonts w:ascii="Cambria Math" w:hAnsi="Cambria Math"/>
                </w:rPr>
                <m:t>3</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K</m:t>
              </m:r>
            </m:e>
            <m:sub>
              <m:r>
                <m:rPr>
                  <m:sty m:val="bi"/>
                </m:rPr>
                <w:rPr>
                  <w:rFonts w:ascii="Cambria Math" w:hAnsi="Cambria Math"/>
                </w:rPr>
                <m:t>2</m:t>
              </m:r>
            </m:sub>
          </m:sSub>
          <m:r>
            <m:rPr>
              <m:sty m:val="bi"/>
            </m:rPr>
            <w:rPr>
              <w:rFonts w:ascii="Cambria Math" w:hAnsi="Cambria Math"/>
            </w:rPr>
            <m:t>+ ∆</m:t>
          </m:r>
        </m:oMath>
      </m:oMathPara>
    </w:p>
    <w:p w14:paraId="2FEBE1E5" w14:textId="2D96814B" w:rsidR="00A07530" w:rsidRPr="00A07530" w:rsidRDefault="00A07530" w:rsidP="0075466D">
      <w:pPr>
        <w:rPr>
          <w:b/>
          <w:bCs/>
        </w:rPr>
      </w:pPr>
      <w:r w:rsidRPr="00A07530">
        <w:rPr>
          <w:b/>
          <w:bCs/>
        </w:rPr>
        <w:t xml:space="preserve">Where </w:t>
      </w:r>
      <m:oMath>
        <m:sSub>
          <m:sSubPr>
            <m:ctrlPr>
              <w:rPr>
                <w:rFonts w:ascii="Cambria Math" w:hAnsi="Cambria Math"/>
                <w:b/>
                <w:bCs/>
                <w:i/>
              </w:rPr>
            </m:ctrlPr>
          </m:sSubPr>
          <m:e>
            <m:r>
              <m:rPr>
                <m:sty m:val="bi"/>
              </m:rPr>
              <w:rPr>
                <w:rFonts w:ascii="Cambria Math" w:hAnsi="Cambria Math"/>
              </w:rPr>
              <m:t>K</m:t>
            </m:r>
          </m:e>
          <m:sub>
            <m:r>
              <m:rPr>
                <m:sty m:val="bi"/>
              </m:rPr>
              <w:rPr>
                <w:rFonts w:ascii="Cambria Math" w:hAnsi="Cambria Math"/>
              </w:rPr>
              <m:t>2</m:t>
            </m:r>
          </m:sub>
        </m:sSub>
      </m:oMath>
      <w:r w:rsidRPr="00A07530">
        <w:rPr>
          <w:b/>
          <w:bCs/>
        </w:rPr>
        <w:t xml:space="preserve"> is defined in TS 38.214 clause 6.1.2.1 and Δ is defined in Table 6.1.2.1.1-5 of TS 38.214. </w:t>
      </w:r>
    </w:p>
    <w:p w14:paraId="369DCE9B" w14:textId="456A20C9" w:rsidR="00757E09" w:rsidRDefault="00757E09" w:rsidP="00A07530">
      <w:pPr>
        <w:pStyle w:val="Heading1"/>
        <w:rPr>
          <w:lang w:val="en-US"/>
        </w:rPr>
      </w:pPr>
      <w:r>
        <w:rPr>
          <w:lang w:val="en-US"/>
        </w:rPr>
        <w:t xml:space="preserve"> Interruption requirements</w:t>
      </w:r>
    </w:p>
    <w:p w14:paraId="137889F3" w14:textId="7F4FA455" w:rsidR="00A07530" w:rsidRDefault="005A7125" w:rsidP="00A07530">
      <w:pPr>
        <w:rPr>
          <w:lang w:val="en-US"/>
        </w:rPr>
      </w:pPr>
      <w:r>
        <w:rPr>
          <w:lang w:val="en-US"/>
        </w:rPr>
        <w:t>We reiterate our views from [5]</w:t>
      </w:r>
      <w:r w:rsidR="00AD7037">
        <w:rPr>
          <w:lang w:val="en-US"/>
        </w:rPr>
        <w:t xml:space="preserve"> and point out that interruption times proposed in [6] are generally unrealistic and unachievable. </w:t>
      </w:r>
    </w:p>
    <w:p w14:paraId="71D4D052" w14:textId="611F88B3" w:rsidR="00A227CF" w:rsidRDefault="00A227CF" w:rsidP="00A07530">
      <w:pPr>
        <w:rPr>
          <w:lang w:val="en-US"/>
        </w:rPr>
      </w:pPr>
      <w:r>
        <w:rPr>
          <w:lang w:val="en-US"/>
        </w:rPr>
        <w:t>It is also noted that the interruption when source cell is released is important and</w:t>
      </w:r>
      <w:r w:rsidR="00C934DA">
        <w:rPr>
          <w:lang w:val="en-US"/>
        </w:rPr>
        <w:t>,</w:t>
      </w:r>
      <w:r>
        <w:rPr>
          <w:lang w:val="en-US"/>
        </w:rPr>
        <w:t xml:space="preserve"> in our view, it should be captured in the core requirements similar to how SCell release interruptions are captured. This term does not, however, show up in the HO delay as shown in Figure 1. RAN4 can discuss whether to devise a test to examine interruption at source cell release. </w:t>
      </w:r>
    </w:p>
    <w:p w14:paraId="405837ED" w14:textId="2B0CAD9A" w:rsidR="00A227CF" w:rsidRPr="00A227CF" w:rsidRDefault="00A227CF" w:rsidP="00A07530">
      <w:pPr>
        <w:rPr>
          <w:b/>
          <w:bCs/>
          <w:lang w:val="en-US"/>
        </w:rPr>
      </w:pPr>
      <w:r w:rsidRPr="00A227CF">
        <w:rPr>
          <w:b/>
          <w:bCs/>
          <w:lang w:val="en-US"/>
        </w:rPr>
        <w:lastRenderedPageBreak/>
        <w:t xml:space="preserve">Proposal 3. RAN4 to capture interruption time due to source cell release. RAN4 to discuss whether to devise a test to example interruption at source cell release. </w:t>
      </w:r>
    </w:p>
    <w:p w14:paraId="0BA6CAA9" w14:textId="68433860" w:rsidR="00AD7037" w:rsidRDefault="00AD7037" w:rsidP="00AD7037">
      <w:pPr>
        <w:rPr>
          <w:lang w:val="en-US"/>
        </w:rPr>
      </w:pPr>
      <w:r>
        <w:rPr>
          <w:lang w:val="en-US"/>
        </w:rPr>
        <w:t>In other RAN working groups, a common understanding is that eMBB improvements should also extend to UE’s with 1Tx. Moreover, in [7], the following scenarios were marked as FFS for simultaneous connectivity even when UE has 2Tx:</w:t>
      </w:r>
    </w:p>
    <w:p w14:paraId="18B97B01" w14:textId="77777777" w:rsidR="00AD7037" w:rsidRPr="00134FFE" w:rsidRDefault="00AD7037" w:rsidP="00AD7037">
      <w:pPr>
        <w:pStyle w:val="ListParagraph"/>
        <w:numPr>
          <w:ilvl w:val="0"/>
          <w:numId w:val="42"/>
        </w:numPr>
        <w:rPr>
          <w:color w:val="FF0000"/>
          <w:sz w:val="20"/>
          <w:szCs w:val="20"/>
        </w:rPr>
      </w:pPr>
      <w:r w:rsidRPr="00134FFE">
        <w:rPr>
          <w:color w:val="FF0000"/>
          <w:sz w:val="20"/>
          <w:szCs w:val="20"/>
        </w:rPr>
        <w:t>Simultaneous UL in asynchronous intra-frequency</w:t>
      </w:r>
    </w:p>
    <w:p w14:paraId="1EB0A564" w14:textId="77777777" w:rsidR="00AD7037" w:rsidRDefault="00AD7037" w:rsidP="00AD7037">
      <w:pPr>
        <w:pStyle w:val="ListParagraph"/>
        <w:numPr>
          <w:ilvl w:val="0"/>
          <w:numId w:val="42"/>
        </w:numPr>
        <w:rPr>
          <w:color w:val="FF0000"/>
          <w:sz w:val="20"/>
          <w:szCs w:val="20"/>
        </w:rPr>
      </w:pPr>
      <w:r w:rsidRPr="00134FFE">
        <w:rPr>
          <w:color w:val="FF0000"/>
          <w:sz w:val="20"/>
          <w:szCs w:val="20"/>
        </w:rPr>
        <w:t xml:space="preserve">Simultaneous DL and UL in asynchronous intra-band inter-frequency </w:t>
      </w:r>
    </w:p>
    <w:p w14:paraId="79C5A080" w14:textId="77777777" w:rsidR="00AD7037" w:rsidRPr="00C96743" w:rsidRDefault="00AD7037" w:rsidP="00AD7037">
      <w:pPr>
        <w:pStyle w:val="ListParagraph"/>
        <w:rPr>
          <w:color w:val="FF0000"/>
          <w:sz w:val="20"/>
          <w:szCs w:val="20"/>
        </w:rPr>
      </w:pPr>
    </w:p>
    <w:p w14:paraId="2DAB5107" w14:textId="77777777" w:rsidR="00AD7037" w:rsidRDefault="00AD7037" w:rsidP="00AD7037">
      <w:r>
        <w:t xml:space="preserve">To allow for simultaneous UL transmission in the above scenarios and also for 1Tx UE’s, UL TDM pattern can be used to maintain UL connection to both source and target cells. While this is technically not “simultaneous” connectivity in UL, it is still a viable way to reduce interruption time during HO. Consequently, we propose RAN4 to define requirements for UE’s that use UL TDM for simultaneous UL connectivity. </w:t>
      </w:r>
    </w:p>
    <w:p w14:paraId="20503D35" w14:textId="1D9772B9" w:rsidR="00AD7037" w:rsidRPr="0056583B" w:rsidRDefault="00AD7037" w:rsidP="00AD7037">
      <w:pPr>
        <w:rPr>
          <w:b/>
          <w:bCs/>
        </w:rPr>
      </w:pPr>
      <w:r w:rsidRPr="0056583B">
        <w:rPr>
          <w:b/>
          <w:bCs/>
        </w:rPr>
        <w:t xml:space="preserve">Observation </w:t>
      </w:r>
      <w:r>
        <w:rPr>
          <w:b/>
          <w:bCs/>
        </w:rPr>
        <w:t>4</w:t>
      </w:r>
      <w:r w:rsidRPr="0056583B">
        <w:rPr>
          <w:b/>
          <w:bCs/>
        </w:rPr>
        <w:t xml:space="preserve">. Simultaneous UL transmission is not possible for the case of asynchronous intra-frequency and intra-band inter-frequency scenarios even if UEs are equipped with 2Tx. Single Tx UEs will not be able to support simultaneous UL transmission to source and target cells during eMBB HO. </w:t>
      </w:r>
    </w:p>
    <w:p w14:paraId="4148CE8E" w14:textId="77777777" w:rsidR="00AD7037" w:rsidRDefault="00AD7037" w:rsidP="00AD7037">
      <w:r>
        <w:t>Unlike LTE, NR has significantly more flexibility in HARQ timeline and DL/UL pattern. Hence, UL TDM between source and target cell can be defined and configured more efficiently. Details regarding how UL TDM pattern should be specified in all scenarios, their signalling to UE, their activation and deactivation timelines are to be discussed in other RAN working groups and is not in the scope of RAN4. However, RAN4 should attend to the following considerations:</w:t>
      </w:r>
    </w:p>
    <w:p w14:paraId="2128EF2F" w14:textId="77777777" w:rsidR="00AD7037" w:rsidRPr="00BA2791" w:rsidRDefault="00AD7037" w:rsidP="00AD7037">
      <w:pPr>
        <w:pStyle w:val="ListParagraph"/>
        <w:numPr>
          <w:ilvl w:val="0"/>
          <w:numId w:val="43"/>
        </w:numPr>
        <w:rPr>
          <w:sz w:val="20"/>
          <w:szCs w:val="20"/>
        </w:rPr>
      </w:pPr>
      <w:r w:rsidRPr="00BA2791">
        <w:rPr>
          <w:sz w:val="20"/>
          <w:szCs w:val="20"/>
        </w:rPr>
        <w:t>Impact of large timing advance difference between source and target cell and the outage it can cause</w:t>
      </w:r>
    </w:p>
    <w:p w14:paraId="3A6CB07F" w14:textId="77777777" w:rsidR="00AD7037" w:rsidRPr="00BA2791" w:rsidRDefault="00AD7037" w:rsidP="00AD7037">
      <w:pPr>
        <w:pStyle w:val="ListParagraph"/>
        <w:numPr>
          <w:ilvl w:val="0"/>
          <w:numId w:val="43"/>
        </w:numPr>
        <w:rPr>
          <w:sz w:val="20"/>
          <w:szCs w:val="20"/>
        </w:rPr>
      </w:pPr>
      <w:r w:rsidRPr="00BA2791">
        <w:rPr>
          <w:sz w:val="20"/>
          <w:szCs w:val="20"/>
        </w:rPr>
        <w:t>Impact of asynchronous timing between source and target cell and how further guard periods are needed to protect DL and UL subframes from interference</w:t>
      </w:r>
    </w:p>
    <w:p w14:paraId="76BBCA7B" w14:textId="77777777" w:rsidR="00AD7037" w:rsidRPr="00BA2791" w:rsidRDefault="00AD7037" w:rsidP="00AD7037">
      <w:pPr>
        <w:pStyle w:val="ListParagraph"/>
        <w:numPr>
          <w:ilvl w:val="0"/>
          <w:numId w:val="43"/>
        </w:numPr>
        <w:rPr>
          <w:sz w:val="20"/>
          <w:szCs w:val="20"/>
        </w:rPr>
      </w:pPr>
      <w:r w:rsidRPr="00BA2791">
        <w:rPr>
          <w:sz w:val="20"/>
          <w:szCs w:val="20"/>
        </w:rPr>
        <w:t>Impact of UE RF switching time in inter-frequency scenarios and how further guard periods are needed between UL subframes</w:t>
      </w:r>
      <w:r>
        <w:rPr>
          <w:sz w:val="20"/>
          <w:szCs w:val="20"/>
        </w:rPr>
        <w:t>. SRS carrier switching time can be used as a baseline for this.</w:t>
      </w:r>
    </w:p>
    <w:p w14:paraId="1D53C26D" w14:textId="77777777" w:rsidR="00AD7037" w:rsidRDefault="00AD7037" w:rsidP="00AD7037"/>
    <w:p w14:paraId="31569F3F" w14:textId="66F254D8" w:rsidR="00AD7037" w:rsidRDefault="00AD7037" w:rsidP="00AD7037">
      <w:pPr>
        <w:rPr>
          <w:b/>
          <w:bCs/>
        </w:rPr>
      </w:pPr>
      <w:r w:rsidRPr="0056583B">
        <w:rPr>
          <w:b/>
          <w:bCs/>
        </w:rPr>
        <w:t xml:space="preserve">Proposal </w:t>
      </w:r>
      <w:r w:rsidR="00DE7BE2">
        <w:rPr>
          <w:b/>
          <w:bCs/>
        </w:rPr>
        <w:t>4</w:t>
      </w:r>
      <w:r w:rsidRPr="0056583B">
        <w:rPr>
          <w:b/>
          <w:bCs/>
        </w:rPr>
        <w:t>. RAN4 to define requirements for UE’s that use UL TDM for simultaneous UL connectivity</w:t>
      </w:r>
      <w:r>
        <w:rPr>
          <w:b/>
          <w:bCs/>
        </w:rPr>
        <w:t xml:space="preserve"> pending further progress in other RAN working groups. RAN4 should consider the impact of the following:</w:t>
      </w:r>
    </w:p>
    <w:p w14:paraId="632810F2" w14:textId="77777777" w:rsidR="00AD7037" w:rsidRPr="00821D75" w:rsidRDefault="00AD7037" w:rsidP="00AD7037">
      <w:pPr>
        <w:pStyle w:val="ListParagraph"/>
        <w:numPr>
          <w:ilvl w:val="0"/>
          <w:numId w:val="44"/>
        </w:numPr>
        <w:rPr>
          <w:b/>
          <w:bCs/>
          <w:sz w:val="20"/>
          <w:szCs w:val="20"/>
        </w:rPr>
      </w:pPr>
      <w:r w:rsidRPr="00821D75">
        <w:rPr>
          <w:b/>
          <w:bCs/>
          <w:sz w:val="20"/>
          <w:szCs w:val="20"/>
        </w:rPr>
        <w:t>Large timing advance difference between source and target cell and the outage it can cause</w:t>
      </w:r>
    </w:p>
    <w:p w14:paraId="131F04AF" w14:textId="77777777" w:rsidR="00AD7037" w:rsidRPr="00821D75" w:rsidRDefault="00AD7037" w:rsidP="00AD7037">
      <w:pPr>
        <w:pStyle w:val="ListParagraph"/>
        <w:numPr>
          <w:ilvl w:val="0"/>
          <w:numId w:val="44"/>
        </w:numPr>
        <w:rPr>
          <w:b/>
          <w:bCs/>
          <w:sz w:val="20"/>
          <w:szCs w:val="20"/>
        </w:rPr>
      </w:pPr>
      <w:r w:rsidRPr="00821D75">
        <w:rPr>
          <w:b/>
          <w:bCs/>
          <w:sz w:val="20"/>
          <w:szCs w:val="20"/>
        </w:rPr>
        <w:t>Asynchronous timing between source and target cell and how further guard periods are needed to protect DL and UL subframes from interference</w:t>
      </w:r>
    </w:p>
    <w:p w14:paraId="28036F37" w14:textId="77777777" w:rsidR="00AD7037" w:rsidRPr="008E37BE" w:rsidRDefault="00AD7037" w:rsidP="00AD7037">
      <w:pPr>
        <w:pStyle w:val="ListParagraph"/>
        <w:numPr>
          <w:ilvl w:val="0"/>
          <w:numId w:val="44"/>
        </w:numPr>
        <w:rPr>
          <w:b/>
          <w:bCs/>
          <w:sz w:val="20"/>
          <w:szCs w:val="20"/>
        </w:rPr>
      </w:pPr>
      <w:r w:rsidRPr="00821D75">
        <w:rPr>
          <w:b/>
          <w:bCs/>
          <w:sz w:val="20"/>
          <w:szCs w:val="20"/>
        </w:rPr>
        <w:t xml:space="preserve">UE RF switching time in inter-frequency scenarios and how further guard periods are needed between UL subframes. </w:t>
      </w:r>
      <w:r w:rsidRPr="008E37BE">
        <w:rPr>
          <w:b/>
          <w:bCs/>
          <w:sz w:val="20"/>
          <w:szCs w:val="20"/>
        </w:rPr>
        <w:t>SRS carrier switching time can be used as a baseline for this.</w:t>
      </w:r>
    </w:p>
    <w:p w14:paraId="26CE48F4" w14:textId="77777777" w:rsidR="00AD7037" w:rsidRPr="00821D75" w:rsidRDefault="00AD7037" w:rsidP="00AD7037">
      <w:pPr>
        <w:pStyle w:val="ListParagraph"/>
        <w:rPr>
          <w:b/>
          <w:bCs/>
        </w:rPr>
      </w:pPr>
    </w:p>
    <w:p w14:paraId="52D1866A" w14:textId="77777777" w:rsidR="00AD7037" w:rsidRDefault="00AD7037" w:rsidP="00AD7037">
      <w:r>
        <w:t xml:space="preserve">It is also noted that in intra-frequency synchronous scenarios, UL TDM to source or target cell should not count as interruption window since UE is transmitting to either source or target cells. RAN4 can discuss how to define interruptions with UL TDM pattern in inter-frequency or asynchronous or large TA difference scenarios since in these cases, there can be lost subframes with no transmission to either source or target cells. </w:t>
      </w:r>
    </w:p>
    <w:p w14:paraId="4B1E7F2D" w14:textId="1AF83F09" w:rsidR="00AD7037" w:rsidRPr="00C25323" w:rsidRDefault="00AD7037" w:rsidP="00AD7037">
      <w:pPr>
        <w:rPr>
          <w:b/>
          <w:bCs/>
        </w:rPr>
      </w:pPr>
      <w:r w:rsidRPr="00CA3693">
        <w:rPr>
          <w:b/>
          <w:bCs/>
        </w:rPr>
        <w:t xml:space="preserve">Proposal </w:t>
      </w:r>
      <w:r w:rsidR="00DE7BE2">
        <w:rPr>
          <w:b/>
          <w:bCs/>
        </w:rPr>
        <w:t>5</w:t>
      </w:r>
      <w:r w:rsidRPr="00CA3693">
        <w:rPr>
          <w:b/>
          <w:bCs/>
        </w:rPr>
        <w:t xml:space="preserve">. In intra-frequency synchronous scenarios, UL TDM to source or target cell should not count as interruption since UE is transmitting to either source or target cells. RAN4 can discuss how to define interruptions with UL TDM pattern in inter-frequency or asynchronous or large TA difference scenarios since in these cases, there </w:t>
      </w:r>
      <w:r>
        <w:rPr>
          <w:b/>
          <w:bCs/>
        </w:rPr>
        <w:t>can</w:t>
      </w:r>
      <w:r w:rsidRPr="00CA3693">
        <w:rPr>
          <w:b/>
          <w:bCs/>
        </w:rPr>
        <w:t xml:space="preserve"> be lost subframes with no transmission to either source or target cells. </w:t>
      </w:r>
    </w:p>
    <w:p w14:paraId="6C01C60D" w14:textId="77777777" w:rsidR="00AD7037" w:rsidRDefault="00AD7037" w:rsidP="00AD7037">
      <w:pPr>
        <w:rPr>
          <w:lang w:val="en-US"/>
        </w:rPr>
      </w:pPr>
      <w:r>
        <w:rPr>
          <w:lang w:val="en-US"/>
        </w:rPr>
        <w:t>In the following sections, we discuss interruptions for eMBB HO assuming 1Tx for intra-frequency and intra-band scenarios and 2Tx for inter-band scenarios. To minimize the interruption length and also simplify the discussion, we believe RAN4 can make some assumptions to facilitate progress in lieu of the complexity of the problem and limited time budget it has for this work item. Specifically, we propose to assume that UE:</w:t>
      </w:r>
    </w:p>
    <w:p w14:paraId="1B17BF5C" w14:textId="77777777" w:rsidR="00AD7037" w:rsidRPr="00445C9A" w:rsidRDefault="00AD7037" w:rsidP="00AD7037">
      <w:pPr>
        <w:pStyle w:val="ListParagraph"/>
        <w:numPr>
          <w:ilvl w:val="0"/>
          <w:numId w:val="41"/>
        </w:numPr>
        <w:rPr>
          <w:sz w:val="20"/>
          <w:szCs w:val="20"/>
        </w:rPr>
      </w:pPr>
      <w:r w:rsidRPr="00445C9A">
        <w:rPr>
          <w:sz w:val="20"/>
          <w:szCs w:val="20"/>
        </w:rPr>
        <w:t>Operates in PCell only mode on both source and target cell (i.e., no CA)</w:t>
      </w:r>
    </w:p>
    <w:p w14:paraId="7914EFC7" w14:textId="77777777" w:rsidR="00AD7037" w:rsidRPr="00445C9A" w:rsidRDefault="00AD7037" w:rsidP="00AD7037">
      <w:pPr>
        <w:pStyle w:val="ListParagraph"/>
        <w:numPr>
          <w:ilvl w:val="1"/>
          <w:numId w:val="41"/>
        </w:numPr>
        <w:rPr>
          <w:sz w:val="20"/>
          <w:szCs w:val="20"/>
        </w:rPr>
      </w:pPr>
      <w:r w:rsidRPr="00445C9A">
        <w:rPr>
          <w:sz w:val="20"/>
          <w:szCs w:val="20"/>
        </w:rPr>
        <w:t>This should be a reasonable assumption as the intent of eMBB HO is impr</w:t>
      </w:r>
      <w:r>
        <w:rPr>
          <w:sz w:val="20"/>
          <w:szCs w:val="20"/>
        </w:rPr>
        <w:t>ove</w:t>
      </w:r>
      <w:r w:rsidRPr="00445C9A">
        <w:rPr>
          <w:sz w:val="20"/>
          <w:szCs w:val="20"/>
        </w:rPr>
        <w:t xml:space="preserve"> smoothen</w:t>
      </w:r>
      <w:r>
        <w:rPr>
          <w:sz w:val="20"/>
          <w:szCs w:val="20"/>
        </w:rPr>
        <w:t>ing</w:t>
      </w:r>
      <w:r w:rsidRPr="00445C9A">
        <w:rPr>
          <w:sz w:val="20"/>
          <w:szCs w:val="20"/>
        </w:rPr>
        <w:t xml:space="preserve"> the transition time and not to increase throughput. UE is also typically limited in link budget in HO zones and CA mode is unlikely. </w:t>
      </w:r>
    </w:p>
    <w:p w14:paraId="333FB0D0" w14:textId="77777777" w:rsidR="00AD7037" w:rsidRDefault="00AD7037" w:rsidP="00AD7037">
      <w:pPr>
        <w:pStyle w:val="ListParagraph"/>
        <w:numPr>
          <w:ilvl w:val="0"/>
          <w:numId w:val="41"/>
        </w:numPr>
        <w:rPr>
          <w:sz w:val="20"/>
          <w:szCs w:val="20"/>
        </w:rPr>
      </w:pPr>
      <w:r w:rsidRPr="00445C9A">
        <w:rPr>
          <w:sz w:val="20"/>
          <w:szCs w:val="20"/>
        </w:rPr>
        <w:t>Suspends gap-based measurements on source cell</w:t>
      </w:r>
    </w:p>
    <w:p w14:paraId="2D6ED76F" w14:textId="77777777" w:rsidR="00AD7037" w:rsidRPr="00AD41E4" w:rsidRDefault="00AD7037" w:rsidP="00AD7037">
      <w:pPr>
        <w:pStyle w:val="ListParagraph"/>
        <w:numPr>
          <w:ilvl w:val="0"/>
          <w:numId w:val="41"/>
        </w:numPr>
        <w:rPr>
          <w:sz w:val="20"/>
          <w:szCs w:val="20"/>
        </w:rPr>
      </w:pPr>
      <w:r w:rsidRPr="00AD41E4">
        <w:rPr>
          <w:sz w:val="20"/>
          <w:szCs w:val="20"/>
        </w:rPr>
        <w:t xml:space="preserve">Does not require any configuration change (e.g., DL-MIMO, UL-MIMO, number of layers, </w:t>
      </w:r>
      <w:r w:rsidRPr="00AD41E4">
        <w:rPr>
          <w:i/>
          <w:iCs/>
          <w:sz w:val="20"/>
          <w:szCs w:val="20"/>
        </w:rPr>
        <w:t>nrofSRS-ports</w:t>
      </w:r>
      <w:r w:rsidRPr="00AD41E4">
        <w:rPr>
          <w:sz w:val="20"/>
          <w:szCs w:val="20"/>
        </w:rPr>
        <w:t xml:space="preserve"> …) </w:t>
      </w:r>
      <w:r>
        <w:rPr>
          <w:sz w:val="20"/>
          <w:szCs w:val="20"/>
        </w:rPr>
        <w:t>while remaining within the UE capability to sustain simultaneous connectivity to source and target cells</w:t>
      </w:r>
    </w:p>
    <w:p w14:paraId="104B75D3" w14:textId="77777777" w:rsidR="00AD7037" w:rsidRDefault="00AD7037" w:rsidP="00AD7037">
      <w:pPr>
        <w:pStyle w:val="ListParagraph"/>
        <w:numPr>
          <w:ilvl w:val="0"/>
          <w:numId w:val="41"/>
        </w:numPr>
        <w:rPr>
          <w:sz w:val="20"/>
          <w:szCs w:val="20"/>
        </w:rPr>
      </w:pPr>
      <w:r w:rsidRPr="00445C9A">
        <w:rPr>
          <w:sz w:val="20"/>
          <w:szCs w:val="20"/>
        </w:rPr>
        <w:lastRenderedPageBreak/>
        <w:t>Does not receive large Timing Advance (TA) update for target cell that causes additional outage</w:t>
      </w:r>
    </w:p>
    <w:p w14:paraId="39F3D17B" w14:textId="77777777" w:rsidR="00AD7037" w:rsidRPr="00AD41E4" w:rsidRDefault="00AD7037" w:rsidP="00AD7037">
      <w:pPr>
        <w:pStyle w:val="ListParagraph"/>
        <w:rPr>
          <w:sz w:val="20"/>
          <w:szCs w:val="20"/>
        </w:rPr>
      </w:pPr>
    </w:p>
    <w:p w14:paraId="59B82D81" w14:textId="77777777" w:rsidR="00AD7037" w:rsidRPr="004F463C" w:rsidRDefault="00AD7037" w:rsidP="00AD7037">
      <w:pPr>
        <w:jc w:val="both"/>
        <w:rPr>
          <w:sz w:val="16"/>
          <w:szCs w:val="16"/>
        </w:rPr>
      </w:pPr>
      <w:r w:rsidRPr="004F463C">
        <w:t>This is not to say that eMBB HO is not functional if any of the above is not met but it should be interpreted as RAN4 requirements would be defined with the above conditions. Not meeting the above conditions c</w:t>
      </w:r>
      <w:r>
        <w:t>an</w:t>
      </w:r>
      <w:r w:rsidRPr="004F463C">
        <w:t xml:space="preserve"> lead to increased interruption windows. </w:t>
      </w:r>
    </w:p>
    <w:p w14:paraId="09B69531" w14:textId="7AFF3278" w:rsidR="00AD7037" w:rsidRPr="00445C9A" w:rsidRDefault="00AD7037" w:rsidP="00AD7037">
      <w:pPr>
        <w:rPr>
          <w:b/>
          <w:bCs/>
        </w:rPr>
      </w:pPr>
      <w:r w:rsidRPr="00445C9A">
        <w:rPr>
          <w:b/>
          <w:bCs/>
        </w:rPr>
        <w:t xml:space="preserve">Proposal </w:t>
      </w:r>
      <w:r w:rsidR="00DE7BE2">
        <w:rPr>
          <w:b/>
          <w:bCs/>
        </w:rPr>
        <w:t>6</w:t>
      </w:r>
      <w:r w:rsidRPr="00445C9A">
        <w:rPr>
          <w:b/>
          <w:bCs/>
        </w:rPr>
        <w:t xml:space="preserve">. RAN4 to define requirements for </w:t>
      </w:r>
      <w:r>
        <w:rPr>
          <w:b/>
          <w:bCs/>
        </w:rPr>
        <w:t>e</w:t>
      </w:r>
      <w:r w:rsidRPr="00445C9A">
        <w:rPr>
          <w:b/>
          <w:bCs/>
        </w:rPr>
        <w:t xml:space="preserve">MBB HO interruption assuming that UE: </w:t>
      </w:r>
    </w:p>
    <w:p w14:paraId="3C863EC9" w14:textId="77777777" w:rsidR="00AD7037" w:rsidRPr="00445C9A" w:rsidRDefault="00AD7037" w:rsidP="00AD7037">
      <w:pPr>
        <w:pStyle w:val="ListParagraph"/>
        <w:numPr>
          <w:ilvl w:val="0"/>
          <w:numId w:val="41"/>
        </w:numPr>
        <w:rPr>
          <w:b/>
          <w:bCs/>
          <w:sz w:val="20"/>
          <w:szCs w:val="20"/>
        </w:rPr>
      </w:pPr>
      <w:r w:rsidRPr="00445C9A">
        <w:rPr>
          <w:b/>
          <w:bCs/>
          <w:sz w:val="20"/>
          <w:szCs w:val="20"/>
        </w:rPr>
        <w:t>Operates in PCell only mode on both source and target cell (i.e., no CA)</w:t>
      </w:r>
    </w:p>
    <w:p w14:paraId="05237186" w14:textId="77777777" w:rsidR="00AD7037" w:rsidRPr="00445C9A" w:rsidRDefault="00AD7037" w:rsidP="00AD7037">
      <w:pPr>
        <w:pStyle w:val="ListParagraph"/>
        <w:numPr>
          <w:ilvl w:val="0"/>
          <w:numId w:val="41"/>
        </w:numPr>
        <w:rPr>
          <w:b/>
          <w:bCs/>
          <w:sz w:val="20"/>
          <w:szCs w:val="20"/>
        </w:rPr>
      </w:pPr>
      <w:r w:rsidRPr="00445C9A">
        <w:rPr>
          <w:b/>
          <w:bCs/>
          <w:sz w:val="20"/>
          <w:szCs w:val="20"/>
        </w:rPr>
        <w:t>Suspends gap-based measurements on source cell</w:t>
      </w:r>
    </w:p>
    <w:p w14:paraId="3BC6E69D" w14:textId="77777777" w:rsidR="00AD7037" w:rsidRPr="0019234C" w:rsidRDefault="00AD7037" w:rsidP="00AD7037">
      <w:pPr>
        <w:pStyle w:val="ListParagraph"/>
        <w:numPr>
          <w:ilvl w:val="0"/>
          <w:numId w:val="41"/>
        </w:numPr>
        <w:rPr>
          <w:b/>
          <w:bCs/>
          <w:sz w:val="20"/>
          <w:szCs w:val="20"/>
        </w:rPr>
      </w:pPr>
      <w:r w:rsidRPr="00445C9A">
        <w:rPr>
          <w:b/>
          <w:bCs/>
          <w:sz w:val="20"/>
          <w:szCs w:val="20"/>
        </w:rPr>
        <w:t>Does not require any c</w:t>
      </w:r>
      <w:r>
        <w:rPr>
          <w:b/>
          <w:bCs/>
          <w:sz w:val="20"/>
          <w:szCs w:val="20"/>
        </w:rPr>
        <w:t>onfiguration</w:t>
      </w:r>
      <w:r w:rsidRPr="00445C9A">
        <w:rPr>
          <w:b/>
          <w:bCs/>
          <w:sz w:val="20"/>
          <w:szCs w:val="20"/>
        </w:rPr>
        <w:t xml:space="preserve"> change (e.g., DL-MIMO, UL-MIMO, number of layers, </w:t>
      </w:r>
      <w:r w:rsidRPr="0019234C">
        <w:rPr>
          <w:b/>
          <w:bCs/>
          <w:i/>
          <w:iCs/>
          <w:sz w:val="20"/>
          <w:szCs w:val="20"/>
        </w:rPr>
        <w:t>nrofSRS-ports,</w:t>
      </w:r>
      <w:r w:rsidRPr="0019234C">
        <w:rPr>
          <w:b/>
          <w:bCs/>
          <w:sz w:val="20"/>
          <w:szCs w:val="20"/>
        </w:rPr>
        <w:t xml:space="preserve"> …) while remaining within the UE capability to sustain simultaneous connectivity to source and target cells</w:t>
      </w:r>
    </w:p>
    <w:p w14:paraId="5889F312" w14:textId="77777777" w:rsidR="00AD7037" w:rsidRDefault="00AD7037" w:rsidP="00AD7037">
      <w:pPr>
        <w:pStyle w:val="ListParagraph"/>
        <w:numPr>
          <w:ilvl w:val="0"/>
          <w:numId w:val="41"/>
        </w:numPr>
        <w:rPr>
          <w:b/>
          <w:bCs/>
          <w:sz w:val="20"/>
          <w:szCs w:val="20"/>
        </w:rPr>
      </w:pPr>
      <w:r w:rsidRPr="00445C9A">
        <w:rPr>
          <w:b/>
          <w:bCs/>
          <w:sz w:val="20"/>
          <w:szCs w:val="20"/>
        </w:rPr>
        <w:t>Does not receive large Timing Advance (TA) update for target cell that causes additional outage</w:t>
      </w:r>
    </w:p>
    <w:p w14:paraId="3F3ED1CE" w14:textId="77777777" w:rsidR="00AD7037" w:rsidRDefault="00AD7037" w:rsidP="00AD7037">
      <w:pPr>
        <w:pStyle w:val="Heading2"/>
        <w:rPr>
          <w:lang w:val="en-US"/>
        </w:rPr>
      </w:pPr>
      <w:r>
        <w:rPr>
          <w:lang w:val="en-US"/>
        </w:rPr>
        <w:t>Interruptions in inter-frequency HO</w:t>
      </w:r>
    </w:p>
    <w:p w14:paraId="6803A4A0" w14:textId="5E2709FA" w:rsidR="00AD7037" w:rsidRDefault="00AD7037" w:rsidP="00AD7037">
      <w:pPr>
        <w:rPr>
          <w:lang w:val="en-US"/>
        </w:rPr>
      </w:pPr>
      <w:r>
        <w:rPr>
          <w:lang w:val="en-US"/>
        </w:rPr>
        <w:t xml:space="preserve">In our view, there is already precedence for interruption requirements in inter-frequency scenario. Clause 8.2.4 of TS 38.133 define interruption requirements for NR-DC PSCell/SCell addition and release in intra-band and inter-band scenarios. There is no reason to believe the interruption requirements in eMBB HO in which RRC HO command carries the configuration of the target cell being added should be any different than PSCell/SCell addition requirements. Similarly, when HO is complete and NW releases the source cell, the interruption requirements should be similar to PSCell/SCell release interruptions. </w:t>
      </w:r>
    </w:p>
    <w:p w14:paraId="6ECF7154" w14:textId="77777777" w:rsidR="00AD7037" w:rsidRPr="00BE78B0" w:rsidRDefault="00AD7037" w:rsidP="00AD7037">
      <w:pPr>
        <w:pStyle w:val="TH"/>
      </w:pPr>
      <w:r w:rsidRPr="00BE78B0">
        <w:t>Table 8.2.4.2.1-1: Interruption duration for PSCell/SCell addition/release for inter-band DC/CA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361"/>
        <w:gridCol w:w="2521"/>
        <w:gridCol w:w="2890"/>
      </w:tblGrid>
      <w:tr w:rsidR="00AD7037" w:rsidRPr="00BE78B0" w14:paraId="57AC235D" w14:textId="77777777" w:rsidTr="00AD7037">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273B903D" w14:textId="77777777" w:rsidR="00AD7037" w:rsidRPr="00BE78B0" w:rsidRDefault="00AD7037" w:rsidP="00AD7037">
            <w:pPr>
              <w:keepNext/>
              <w:keepLines/>
              <w:spacing w:after="0"/>
              <w:jc w:val="center"/>
            </w:pPr>
            <w:r w:rsidRPr="00BE78B0">
              <w:rPr>
                <w:rFonts w:ascii="Arial" w:hAnsi="Arial"/>
                <w:b/>
                <w:noProof/>
                <w:sz w:val="18"/>
                <w:lang w:val="en-US" w:eastAsia="zh-CN"/>
              </w:rPr>
              <w:drawing>
                <wp:inline distT="0" distB="0" distL="0" distR="0" wp14:anchorId="5E808FCD" wp14:editId="051991AE">
                  <wp:extent cx="142240" cy="160020"/>
                  <wp:effectExtent l="0" t="0" r="0" b="0"/>
                  <wp:docPr id="60" name="图片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61" w:type="dxa"/>
            <w:tcBorders>
              <w:top w:val="single" w:sz="4" w:space="0" w:color="auto"/>
              <w:left w:val="single" w:sz="4" w:space="0" w:color="auto"/>
              <w:bottom w:val="single" w:sz="4" w:space="0" w:color="auto"/>
              <w:right w:val="single" w:sz="4" w:space="0" w:color="auto"/>
            </w:tcBorders>
            <w:hideMark/>
          </w:tcPr>
          <w:p w14:paraId="33193D37" w14:textId="77777777" w:rsidR="00AD7037" w:rsidRPr="00BE78B0" w:rsidRDefault="00AD7037" w:rsidP="00AD7037">
            <w:pPr>
              <w:keepNext/>
              <w:keepLines/>
              <w:spacing w:after="0"/>
              <w:jc w:val="center"/>
            </w:pPr>
            <w:r w:rsidRPr="00BE78B0">
              <w:rPr>
                <w:rFonts w:ascii="Arial" w:hAnsi="Arial"/>
                <w:b/>
                <w:sz w:val="18"/>
              </w:rPr>
              <w:t>NR Slot length (ms) of victim cell</w:t>
            </w:r>
          </w:p>
        </w:tc>
        <w:tc>
          <w:tcPr>
            <w:tcW w:w="5411" w:type="dxa"/>
            <w:gridSpan w:val="2"/>
            <w:tcBorders>
              <w:top w:val="single" w:sz="4" w:space="0" w:color="auto"/>
              <w:left w:val="single" w:sz="4" w:space="0" w:color="auto"/>
              <w:bottom w:val="single" w:sz="4" w:space="0" w:color="auto"/>
              <w:right w:val="single" w:sz="4" w:space="0" w:color="auto"/>
            </w:tcBorders>
            <w:hideMark/>
          </w:tcPr>
          <w:p w14:paraId="6A4E44A3" w14:textId="77777777" w:rsidR="00AD7037" w:rsidRPr="00BE78B0" w:rsidRDefault="00AD7037" w:rsidP="00AD7037">
            <w:pPr>
              <w:keepNext/>
              <w:keepLines/>
              <w:spacing w:after="0"/>
              <w:jc w:val="center"/>
            </w:pPr>
            <w:r w:rsidRPr="00BE78B0">
              <w:rPr>
                <w:rFonts w:ascii="Arial" w:hAnsi="Arial"/>
                <w:b/>
                <w:sz w:val="18"/>
              </w:rPr>
              <w:t>Interruption length (slot)</w:t>
            </w:r>
          </w:p>
        </w:tc>
      </w:tr>
      <w:tr w:rsidR="00AD7037" w:rsidRPr="00BE78B0" w14:paraId="0C839ABB" w14:textId="77777777" w:rsidTr="00AD7037">
        <w:trPr>
          <w:jc w:val="center"/>
        </w:trPr>
        <w:tc>
          <w:tcPr>
            <w:tcW w:w="649" w:type="dxa"/>
            <w:tcBorders>
              <w:top w:val="single" w:sz="4" w:space="0" w:color="auto"/>
              <w:left w:val="single" w:sz="4" w:space="0" w:color="auto"/>
              <w:bottom w:val="single" w:sz="4" w:space="0" w:color="auto"/>
              <w:right w:val="single" w:sz="4" w:space="0" w:color="auto"/>
            </w:tcBorders>
            <w:hideMark/>
          </w:tcPr>
          <w:p w14:paraId="01D5942F" w14:textId="77777777" w:rsidR="00AD7037" w:rsidRPr="00BE78B0" w:rsidRDefault="00AD7037" w:rsidP="00AD7037">
            <w:pPr>
              <w:pStyle w:val="TAC"/>
            </w:pPr>
            <w:r w:rsidRPr="00BE78B0">
              <w:t>0</w:t>
            </w:r>
          </w:p>
        </w:tc>
        <w:tc>
          <w:tcPr>
            <w:tcW w:w="1361" w:type="dxa"/>
            <w:tcBorders>
              <w:top w:val="single" w:sz="4" w:space="0" w:color="auto"/>
              <w:left w:val="single" w:sz="4" w:space="0" w:color="auto"/>
              <w:bottom w:val="single" w:sz="4" w:space="0" w:color="auto"/>
              <w:right w:val="single" w:sz="4" w:space="0" w:color="auto"/>
            </w:tcBorders>
            <w:hideMark/>
          </w:tcPr>
          <w:p w14:paraId="79A28A0A" w14:textId="77777777" w:rsidR="00AD7037" w:rsidRPr="00BE78B0" w:rsidRDefault="00AD7037" w:rsidP="00AD7037">
            <w:pPr>
              <w:pStyle w:val="TAC"/>
            </w:pPr>
            <w:r w:rsidRPr="00BE78B0">
              <w:t>1</w:t>
            </w:r>
          </w:p>
        </w:tc>
        <w:tc>
          <w:tcPr>
            <w:tcW w:w="5411" w:type="dxa"/>
            <w:gridSpan w:val="2"/>
            <w:tcBorders>
              <w:top w:val="single" w:sz="4" w:space="0" w:color="auto"/>
              <w:left w:val="single" w:sz="4" w:space="0" w:color="auto"/>
              <w:bottom w:val="single" w:sz="4" w:space="0" w:color="auto"/>
              <w:right w:val="single" w:sz="4" w:space="0" w:color="auto"/>
            </w:tcBorders>
            <w:hideMark/>
          </w:tcPr>
          <w:p w14:paraId="6B969FF6" w14:textId="77777777" w:rsidR="00AD7037" w:rsidRPr="00BE78B0" w:rsidRDefault="00AD7037" w:rsidP="00AD7037">
            <w:pPr>
              <w:pStyle w:val="TAC"/>
              <w:rPr>
                <w:rFonts w:cs="Arial"/>
                <w:szCs w:val="18"/>
              </w:rPr>
            </w:pPr>
            <w:r w:rsidRPr="00BE78B0">
              <w:rPr>
                <w:rFonts w:cs="Arial"/>
                <w:szCs w:val="18"/>
              </w:rPr>
              <w:t xml:space="preserve">1 </w:t>
            </w:r>
          </w:p>
        </w:tc>
      </w:tr>
      <w:tr w:rsidR="00AD7037" w:rsidRPr="00BE78B0" w14:paraId="56EFD550" w14:textId="77777777" w:rsidTr="00AD7037">
        <w:trPr>
          <w:jc w:val="center"/>
        </w:trPr>
        <w:tc>
          <w:tcPr>
            <w:tcW w:w="649" w:type="dxa"/>
            <w:tcBorders>
              <w:top w:val="single" w:sz="4" w:space="0" w:color="auto"/>
              <w:left w:val="single" w:sz="4" w:space="0" w:color="auto"/>
              <w:bottom w:val="single" w:sz="4" w:space="0" w:color="auto"/>
              <w:right w:val="single" w:sz="4" w:space="0" w:color="auto"/>
            </w:tcBorders>
            <w:hideMark/>
          </w:tcPr>
          <w:p w14:paraId="2FD39CE0" w14:textId="77777777" w:rsidR="00AD7037" w:rsidRPr="00BE78B0" w:rsidRDefault="00AD7037" w:rsidP="00AD7037">
            <w:pPr>
              <w:pStyle w:val="TAC"/>
            </w:pPr>
            <w:r w:rsidRPr="00BE78B0">
              <w:t>1</w:t>
            </w:r>
          </w:p>
        </w:tc>
        <w:tc>
          <w:tcPr>
            <w:tcW w:w="1361" w:type="dxa"/>
            <w:tcBorders>
              <w:top w:val="single" w:sz="4" w:space="0" w:color="auto"/>
              <w:left w:val="single" w:sz="4" w:space="0" w:color="auto"/>
              <w:bottom w:val="single" w:sz="4" w:space="0" w:color="auto"/>
              <w:right w:val="single" w:sz="4" w:space="0" w:color="auto"/>
            </w:tcBorders>
            <w:hideMark/>
          </w:tcPr>
          <w:p w14:paraId="643605E7" w14:textId="77777777" w:rsidR="00AD7037" w:rsidRPr="00BE78B0" w:rsidRDefault="00AD7037" w:rsidP="00AD7037">
            <w:pPr>
              <w:pStyle w:val="TAC"/>
            </w:pPr>
            <w:r w:rsidRPr="00BE78B0">
              <w:t>0.5</w:t>
            </w:r>
          </w:p>
        </w:tc>
        <w:tc>
          <w:tcPr>
            <w:tcW w:w="5411" w:type="dxa"/>
            <w:gridSpan w:val="2"/>
            <w:tcBorders>
              <w:top w:val="single" w:sz="4" w:space="0" w:color="auto"/>
              <w:left w:val="single" w:sz="4" w:space="0" w:color="auto"/>
              <w:bottom w:val="single" w:sz="4" w:space="0" w:color="auto"/>
              <w:right w:val="single" w:sz="4" w:space="0" w:color="auto"/>
            </w:tcBorders>
            <w:hideMark/>
          </w:tcPr>
          <w:p w14:paraId="078D6888" w14:textId="77777777" w:rsidR="00AD7037" w:rsidRPr="00BE78B0" w:rsidRDefault="00AD7037" w:rsidP="00AD7037">
            <w:pPr>
              <w:pStyle w:val="TAC"/>
              <w:rPr>
                <w:rFonts w:cs="Arial"/>
                <w:szCs w:val="18"/>
              </w:rPr>
            </w:pPr>
            <w:r w:rsidRPr="00BE78B0">
              <w:rPr>
                <w:rFonts w:cs="Arial"/>
                <w:szCs w:val="18"/>
              </w:rPr>
              <w:t xml:space="preserve">2 </w:t>
            </w:r>
          </w:p>
        </w:tc>
      </w:tr>
      <w:tr w:rsidR="00AD7037" w:rsidRPr="00BE78B0" w14:paraId="72E504AE" w14:textId="77777777" w:rsidTr="00AD7037">
        <w:trPr>
          <w:jc w:val="center"/>
        </w:trPr>
        <w:tc>
          <w:tcPr>
            <w:tcW w:w="649" w:type="dxa"/>
            <w:vMerge w:val="restart"/>
            <w:tcBorders>
              <w:top w:val="single" w:sz="4" w:space="0" w:color="auto"/>
              <w:left w:val="single" w:sz="4" w:space="0" w:color="auto"/>
              <w:bottom w:val="single" w:sz="4" w:space="0" w:color="auto"/>
              <w:right w:val="single" w:sz="4" w:space="0" w:color="auto"/>
            </w:tcBorders>
            <w:hideMark/>
          </w:tcPr>
          <w:p w14:paraId="49D748D6" w14:textId="77777777" w:rsidR="00AD7037" w:rsidRPr="00BE78B0" w:rsidRDefault="00AD7037" w:rsidP="00AD7037">
            <w:pPr>
              <w:pStyle w:val="TAC"/>
            </w:pPr>
            <w:r w:rsidRPr="00BE78B0">
              <w:t>2</w:t>
            </w:r>
          </w:p>
        </w:tc>
        <w:tc>
          <w:tcPr>
            <w:tcW w:w="1361" w:type="dxa"/>
            <w:vMerge w:val="restart"/>
            <w:tcBorders>
              <w:top w:val="single" w:sz="4" w:space="0" w:color="auto"/>
              <w:left w:val="single" w:sz="4" w:space="0" w:color="auto"/>
              <w:bottom w:val="single" w:sz="4" w:space="0" w:color="auto"/>
              <w:right w:val="single" w:sz="4" w:space="0" w:color="auto"/>
            </w:tcBorders>
            <w:hideMark/>
          </w:tcPr>
          <w:p w14:paraId="63120D5C" w14:textId="77777777" w:rsidR="00AD7037" w:rsidRPr="00BE78B0" w:rsidRDefault="00AD7037" w:rsidP="00AD7037">
            <w:pPr>
              <w:pStyle w:val="TAC"/>
            </w:pPr>
            <w:r w:rsidRPr="00BE78B0">
              <w:t>0.25</w:t>
            </w:r>
          </w:p>
        </w:tc>
        <w:tc>
          <w:tcPr>
            <w:tcW w:w="2521" w:type="dxa"/>
            <w:tcBorders>
              <w:top w:val="single" w:sz="4" w:space="0" w:color="auto"/>
              <w:left w:val="single" w:sz="4" w:space="0" w:color="auto"/>
              <w:bottom w:val="single" w:sz="4" w:space="0" w:color="auto"/>
              <w:right w:val="single" w:sz="4" w:space="0" w:color="auto"/>
            </w:tcBorders>
            <w:hideMark/>
          </w:tcPr>
          <w:p w14:paraId="46977789" w14:textId="77777777" w:rsidR="00AD7037" w:rsidRPr="00BE78B0" w:rsidRDefault="00AD7037" w:rsidP="00AD7037">
            <w:pPr>
              <w:keepNext/>
              <w:keepLines/>
              <w:spacing w:after="0"/>
              <w:jc w:val="center"/>
              <w:rPr>
                <w:rFonts w:ascii="Arial" w:hAnsi="Arial"/>
                <w:sz w:val="18"/>
                <w:lang w:eastAsia="zh-CN"/>
              </w:rPr>
            </w:pPr>
            <w:r w:rsidRPr="00BE78B0">
              <w:rPr>
                <w:rFonts w:ascii="Arial" w:hAnsi="Arial"/>
                <w:sz w:val="18"/>
                <w:lang w:eastAsia="zh-CN"/>
              </w:rPr>
              <w:t>Both aggressor cell and victim cell are on FR2</w:t>
            </w:r>
          </w:p>
        </w:tc>
        <w:tc>
          <w:tcPr>
            <w:tcW w:w="2890" w:type="dxa"/>
            <w:tcBorders>
              <w:top w:val="single" w:sz="4" w:space="0" w:color="auto"/>
              <w:left w:val="single" w:sz="4" w:space="0" w:color="auto"/>
              <w:bottom w:val="single" w:sz="4" w:space="0" w:color="auto"/>
              <w:right w:val="single" w:sz="4" w:space="0" w:color="auto"/>
            </w:tcBorders>
            <w:hideMark/>
          </w:tcPr>
          <w:p w14:paraId="3BD198F0" w14:textId="77777777" w:rsidR="00AD7037" w:rsidRPr="00BE78B0" w:rsidRDefault="00AD7037" w:rsidP="00AD7037">
            <w:pPr>
              <w:pStyle w:val="TAC"/>
              <w:rPr>
                <w:rFonts w:cs="Arial"/>
                <w:szCs w:val="18"/>
              </w:rPr>
            </w:pPr>
            <w:r w:rsidRPr="00BE78B0">
              <w:rPr>
                <w:rFonts w:cs="Arial"/>
                <w:szCs w:val="18"/>
              </w:rPr>
              <w:t xml:space="preserve">4 </w:t>
            </w:r>
          </w:p>
        </w:tc>
      </w:tr>
      <w:tr w:rsidR="00AD7037" w:rsidRPr="00BE78B0" w14:paraId="709D4BE9" w14:textId="77777777" w:rsidTr="00AD703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F16AB7" w14:textId="77777777" w:rsidR="00AD7037" w:rsidRPr="00BE78B0" w:rsidRDefault="00AD7037" w:rsidP="00AD703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97D0B7" w14:textId="77777777" w:rsidR="00AD7037" w:rsidRPr="00BE78B0" w:rsidRDefault="00AD7037" w:rsidP="00AD7037">
            <w:pPr>
              <w:spacing w:after="0"/>
              <w:rPr>
                <w:rFonts w:ascii="Arial" w:hAnsi="Arial"/>
                <w:sz w:val="18"/>
              </w:rPr>
            </w:pPr>
          </w:p>
        </w:tc>
        <w:tc>
          <w:tcPr>
            <w:tcW w:w="2521" w:type="dxa"/>
            <w:tcBorders>
              <w:top w:val="single" w:sz="4" w:space="0" w:color="auto"/>
              <w:left w:val="single" w:sz="4" w:space="0" w:color="auto"/>
              <w:bottom w:val="single" w:sz="4" w:space="0" w:color="auto"/>
              <w:right w:val="single" w:sz="4" w:space="0" w:color="auto"/>
            </w:tcBorders>
            <w:hideMark/>
          </w:tcPr>
          <w:p w14:paraId="092EB4FB" w14:textId="77777777" w:rsidR="00AD7037" w:rsidRPr="00BE78B0" w:rsidRDefault="00AD7037" w:rsidP="00AD7037">
            <w:pPr>
              <w:keepNext/>
              <w:keepLines/>
              <w:spacing w:after="0"/>
              <w:jc w:val="center"/>
              <w:rPr>
                <w:rFonts w:ascii="Arial" w:hAnsi="Arial"/>
                <w:sz w:val="18"/>
                <w:lang w:eastAsia="zh-CN"/>
              </w:rPr>
            </w:pPr>
            <w:r w:rsidRPr="00BE78B0">
              <w:rPr>
                <w:rFonts w:ascii="Arial" w:hAnsi="Arial"/>
                <w:sz w:val="18"/>
                <w:lang w:eastAsia="zh-CN"/>
              </w:rPr>
              <w:t>Either aggressor cell or victim cell is on FR1</w:t>
            </w:r>
          </w:p>
        </w:tc>
        <w:tc>
          <w:tcPr>
            <w:tcW w:w="2890" w:type="dxa"/>
            <w:tcBorders>
              <w:top w:val="single" w:sz="4" w:space="0" w:color="auto"/>
              <w:left w:val="single" w:sz="4" w:space="0" w:color="auto"/>
              <w:bottom w:val="single" w:sz="4" w:space="0" w:color="auto"/>
              <w:right w:val="single" w:sz="4" w:space="0" w:color="auto"/>
            </w:tcBorders>
            <w:hideMark/>
          </w:tcPr>
          <w:p w14:paraId="5FE1B302" w14:textId="77777777" w:rsidR="00AD7037" w:rsidRPr="00BE78B0" w:rsidRDefault="00AD7037" w:rsidP="00AD7037">
            <w:pPr>
              <w:pStyle w:val="TAC"/>
              <w:rPr>
                <w:rFonts w:cs="Arial"/>
                <w:szCs w:val="18"/>
              </w:rPr>
            </w:pPr>
            <w:r w:rsidRPr="00BE78B0">
              <w:rPr>
                <w:rFonts w:cs="Arial"/>
                <w:szCs w:val="18"/>
              </w:rPr>
              <w:t>5</w:t>
            </w:r>
          </w:p>
        </w:tc>
      </w:tr>
      <w:tr w:rsidR="00AD7037" w:rsidRPr="00BE78B0" w14:paraId="62F7C98D" w14:textId="77777777" w:rsidTr="00AD7037">
        <w:trPr>
          <w:jc w:val="center"/>
        </w:trPr>
        <w:tc>
          <w:tcPr>
            <w:tcW w:w="649" w:type="dxa"/>
            <w:vMerge w:val="restart"/>
            <w:tcBorders>
              <w:top w:val="single" w:sz="4" w:space="0" w:color="auto"/>
              <w:left w:val="single" w:sz="4" w:space="0" w:color="auto"/>
              <w:bottom w:val="single" w:sz="4" w:space="0" w:color="auto"/>
              <w:right w:val="single" w:sz="4" w:space="0" w:color="auto"/>
            </w:tcBorders>
            <w:hideMark/>
          </w:tcPr>
          <w:p w14:paraId="5D7610F8" w14:textId="77777777" w:rsidR="00AD7037" w:rsidRPr="00BE78B0" w:rsidRDefault="00AD7037" w:rsidP="00AD7037">
            <w:pPr>
              <w:pStyle w:val="TAC"/>
            </w:pPr>
            <w:r w:rsidRPr="00BE78B0">
              <w:t>3</w:t>
            </w:r>
          </w:p>
        </w:tc>
        <w:tc>
          <w:tcPr>
            <w:tcW w:w="1361" w:type="dxa"/>
            <w:vMerge w:val="restart"/>
            <w:tcBorders>
              <w:top w:val="single" w:sz="4" w:space="0" w:color="auto"/>
              <w:left w:val="single" w:sz="4" w:space="0" w:color="auto"/>
              <w:bottom w:val="single" w:sz="4" w:space="0" w:color="auto"/>
              <w:right w:val="single" w:sz="4" w:space="0" w:color="auto"/>
            </w:tcBorders>
            <w:hideMark/>
          </w:tcPr>
          <w:p w14:paraId="1575E685" w14:textId="77777777" w:rsidR="00AD7037" w:rsidRPr="00BE78B0" w:rsidRDefault="00AD7037" w:rsidP="00AD7037">
            <w:pPr>
              <w:pStyle w:val="TAC"/>
            </w:pPr>
            <w:r w:rsidRPr="00BE78B0">
              <w:t>0.125</w:t>
            </w:r>
          </w:p>
        </w:tc>
        <w:tc>
          <w:tcPr>
            <w:tcW w:w="2521" w:type="dxa"/>
            <w:tcBorders>
              <w:top w:val="single" w:sz="4" w:space="0" w:color="auto"/>
              <w:left w:val="single" w:sz="4" w:space="0" w:color="auto"/>
              <w:bottom w:val="single" w:sz="4" w:space="0" w:color="auto"/>
              <w:right w:val="single" w:sz="4" w:space="0" w:color="auto"/>
            </w:tcBorders>
            <w:hideMark/>
          </w:tcPr>
          <w:p w14:paraId="6719296C" w14:textId="77777777" w:rsidR="00AD7037" w:rsidRPr="00BE78B0" w:rsidRDefault="00AD7037" w:rsidP="00AD7037">
            <w:pPr>
              <w:keepNext/>
              <w:keepLines/>
              <w:spacing w:after="0"/>
              <w:jc w:val="center"/>
              <w:rPr>
                <w:rFonts w:ascii="Arial" w:hAnsi="Arial"/>
                <w:sz w:val="18"/>
                <w:lang w:eastAsia="zh-CN"/>
              </w:rPr>
            </w:pPr>
            <w:r w:rsidRPr="00BE78B0">
              <w:rPr>
                <w:rFonts w:ascii="Arial" w:hAnsi="Arial"/>
                <w:sz w:val="18"/>
                <w:lang w:eastAsia="zh-CN"/>
              </w:rPr>
              <w:t>Aggressor cell is on FR2</w:t>
            </w:r>
          </w:p>
        </w:tc>
        <w:tc>
          <w:tcPr>
            <w:tcW w:w="2890" w:type="dxa"/>
            <w:tcBorders>
              <w:top w:val="single" w:sz="4" w:space="0" w:color="auto"/>
              <w:left w:val="single" w:sz="4" w:space="0" w:color="auto"/>
              <w:bottom w:val="single" w:sz="4" w:space="0" w:color="auto"/>
              <w:right w:val="single" w:sz="4" w:space="0" w:color="auto"/>
            </w:tcBorders>
            <w:hideMark/>
          </w:tcPr>
          <w:p w14:paraId="4B56FB69" w14:textId="77777777" w:rsidR="00AD7037" w:rsidRPr="00BE78B0" w:rsidRDefault="00AD7037" w:rsidP="00AD7037">
            <w:pPr>
              <w:pStyle w:val="TAC"/>
              <w:rPr>
                <w:rFonts w:cs="Arial"/>
                <w:szCs w:val="18"/>
              </w:rPr>
            </w:pPr>
            <w:r w:rsidRPr="00BE78B0">
              <w:rPr>
                <w:rFonts w:cs="Arial"/>
                <w:szCs w:val="18"/>
              </w:rPr>
              <w:t xml:space="preserve">8 </w:t>
            </w:r>
          </w:p>
        </w:tc>
      </w:tr>
      <w:tr w:rsidR="00AD7037" w:rsidRPr="00BE78B0" w14:paraId="110C5399" w14:textId="77777777" w:rsidTr="00AD703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FC2154" w14:textId="77777777" w:rsidR="00AD7037" w:rsidRPr="00BE78B0" w:rsidRDefault="00AD7037" w:rsidP="00AD703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977E11" w14:textId="77777777" w:rsidR="00AD7037" w:rsidRPr="00BE78B0" w:rsidRDefault="00AD7037" w:rsidP="00AD7037">
            <w:pPr>
              <w:spacing w:after="0"/>
              <w:rPr>
                <w:rFonts w:ascii="Arial" w:hAnsi="Arial"/>
                <w:sz w:val="18"/>
              </w:rPr>
            </w:pPr>
          </w:p>
        </w:tc>
        <w:tc>
          <w:tcPr>
            <w:tcW w:w="2521" w:type="dxa"/>
            <w:tcBorders>
              <w:top w:val="single" w:sz="4" w:space="0" w:color="auto"/>
              <w:left w:val="single" w:sz="4" w:space="0" w:color="auto"/>
              <w:bottom w:val="single" w:sz="4" w:space="0" w:color="auto"/>
              <w:right w:val="single" w:sz="4" w:space="0" w:color="auto"/>
            </w:tcBorders>
            <w:hideMark/>
          </w:tcPr>
          <w:p w14:paraId="4BCC10E4" w14:textId="77777777" w:rsidR="00AD7037" w:rsidRPr="00BE78B0" w:rsidRDefault="00AD7037" w:rsidP="00AD7037">
            <w:pPr>
              <w:keepNext/>
              <w:keepLines/>
              <w:spacing w:after="0"/>
              <w:jc w:val="center"/>
              <w:rPr>
                <w:rFonts w:ascii="Arial" w:hAnsi="Arial"/>
                <w:sz w:val="18"/>
                <w:lang w:eastAsia="zh-CN"/>
              </w:rPr>
            </w:pPr>
            <w:r w:rsidRPr="00BE78B0">
              <w:rPr>
                <w:rFonts w:ascii="Arial" w:hAnsi="Arial"/>
                <w:sz w:val="18"/>
                <w:lang w:eastAsia="zh-CN"/>
              </w:rPr>
              <w:t>Aggressor cell is on FR1</w:t>
            </w:r>
          </w:p>
        </w:tc>
        <w:tc>
          <w:tcPr>
            <w:tcW w:w="2890" w:type="dxa"/>
            <w:tcBorders>
              <w:top w:val="single" w:sz="4" w:space="0" w:color="auto"/>
              <w:left w:val="single" w:sz="4" w:space="0" w:color="auto"/>
              <w:bottom w:val="single" w:sz="4" w:space="0" w:color="auto"/>
              <w:right w:val="single" w:sz="4" w:space="0" w:color="auto"/>
            </w:tcBorders>
            <w:hideMark/>
          </w:tcPr>
          <w:p w14:paraId="6EB0D5F0" w14:textId="77777777" w:rsidR="00AD7037" w:rsidRPr="00BE78B0" w:rsidRDefault="00AD7037" w:rsidP="00AD7037">
            <w:pPr>
              <w:pStyle w:val="TAC"/>
              <w:rPr>
                <w:rFonts w:cs="Arial"/>
                <w:szCs w:val="18"/>
              </w:rPr>
            </w:pPr>
            <w:r w:rsidRPr="00BE78B0">
              <w:rPr>
                <w:rFonts w:cs="Arial"/>
                <w:szCs w:val="18"/>
              </w:rPr>
              <w:t xml:space="preserve">9 </w:t>
            </w:r>
          </w:p>
        </w:tc>
      </w:tr>
      <w:tr w:rsidR="00AD7037" w:rsidRPr="00BE78B0" w14:paraId="7C8F2CEC" w14:textId="77777777" w:rsidTr="00AD7037">
        <w:trPr>
          <w:jc w:val="center"/>
        </w:trPr>
        <w:tc>
          <w:tcPr>
            <w:tcW w:w="7421" w:type="dxa"/>
            <w:gridSpan w:val="4"/>
            <w:tcBorders>
              <w:top w:val="single" w:sz="4" w:space="0" w:color="auto"/>
              <w:left w:val="single" w:sz="4" w:space="0" w:color="auto"/>
              <w:bottom w:val="single" w:sz="4" w:space="0" w:color="auto"/>
              <w:right w:val="single" w:sz="4" w:space="0" w:color="auto"/>
            </w:tcBorders>
            <w:hideMark/>
          </w:tcPr>
          <w:p w14:paraId="20EFCE5B" w14:textId="77777777" w:rsidR="00AD7037" w:rsidRPr="00BE78B0" w:rsidRDefault="00AD7037" w:rsidP="00AD7037">
            <w:pPr>
              <w:pStyle w:val="TAN"/>
              <w:rPr>
                <w:lang w:eastAsia="zh-CN"/>
              </w:rPr>
            </w:pPr>
            <w:r w:rsidRPr="00BE78B0">
              <w:t xml:space="preserve">Note: </w:t>
            </w:r>
            <w:r w:rsidRPr="00BE78B0">
              <w:tab/>
            </w:r>
            <w:r w:rsidRPr="00BE78B0">
              <w:rPr>
                <w:lang w:eastAsia="zh-CN"/>
              </w:rPr>
              <w:t>T</w:t>
            </w:r>
            <w:r w:rsidRPr="00BE78B0">
              <w:rPr>
                <w:vertAlign w:val="subscript"/>
                <w:lang w:eastAsia="zh-CN"/>
              </w:rPr>
              <w:t>SMTC_duration</w:t>
            </w:r>
            <w:r w:rsidRPr="00BE78B0">
              <w:rPr>
                <w:lang w:eastAsia="zh-CN"/>
              </w:rPr>
              <w:t xml:space="preserve"> is</w:t>
            </w:r>
          </w:p>
          <w:p w14:paraId="2ACC2E42" w14:textId="77777777" w:rsidR="00AD7037" w:rsidRPr="00BE78B0" w:rsidRDefault="00AD7037" w:rsidP="00AD7037">
            <w:pPr>
              <w:pStyle w:val="TAN"/>
            </w:pPr>
            <w:r w:rsidRPr="00BE78B0">
              <w:tab/>
              <w:t xml:space="preserve">- the longest SMTC duration </w:t>
            </w:r>
            <w:r w:rsidRPr="00BE78B0">
              <w:rPr>
                <w:lang w:eastAsia="zh-CN"/>
              </w:rPr>
              <w:t xml:space="preserve">among all above </w:t>
            </w:r>
            <w:r w:rsidRPr="00BE78B0">
              <w:t xml:space="preserve">active </w:t>
            </w:r>
            <w:r w:rsidRPr="00BE78B0">
              <w:rPr>
                <w:lang w:eastAsia="zh-CN"/>
              </w:rPr>
              <w:t>serving cells</w:t>
            </w:r>
            <w:r w:rsidRPr="00BE78B0">
              <w:t xml:space="preserve"> and the SCell being added when one SCell is added;</w:t>
            </w:r>
          </w:p>
          <w:p w14:paraId="76177277" w14:textId="77777777" w:rsidR="00AD7037" w:rsidRPr="00BE78B0" w:rsidRDefault="00AD7037" w:rsidP="00AD7037">
            <w:pPr>
              <w:pStyle w:val="TAN"/>
            </w:pPr>
            <w:r w:rsidRPr="00BE78B0">
              <w:tab/>
              <w:t xml:space="preserve">- the longest SMTC duration </w:t>
            </w:r>
            <w:r w:rsidRPr="00BE78B0">
              <w:rPr>
                <w:lang w:eastAsia="zh-CN"/>
              </w:rPr>
              <w:t xml:space="preserve">among all </w:t>
            </w:r>
            <w:r w:rsidRPr="00BE78B0">
              <w:t xml:space="preserve">active </w:t>
            </w:r>
            <w:r w:rsidRPr="00BE78B0">
              <w:rPr>
                <w:lang w:eastAsia="zh-CN"/>
              </w:rPr>
              <w:t>serving cells</w:t>
            </w:r>
            <w:r w:rsidRPr="00BE78B0">
              <w:t xml:space="preserve"> in the same band when one SCell is released.  </w:t>
            </w:r>
          </w:p>
        </w:tc>
      </w:tr>
    </w:tbl>
    <w:p w14:paraId="1BBB56F1" w14:textId="77777777" w:rsidR="00AD7037" w:rsidRPr="00BE78B0" w:rsidRDefault="00AD7037" w:rsidP="00AD7037"/>
    <w:p w14:paraId="7D03231B" w14:textId="77777777" w:rsidR="00AD7037" w:rsidRPr="00BE78B0" w:rsidRDefault="00AD7037" w:rsidP="00AD7037">
      <w:pPr>
        <w:keepNext/>
        <w:keepLines/>
        <w:spacing w:before="60"/>
        <w:jc w:val="center"/>
      </w:pPr>
      <w:r w:rsidRPr="00BE78B0">
        <w:rPr>
          <w:rFonts w:ascii="Arial" w:hAnsi="Arial"/>
          <w:b/>
        </w:rPr>
        <w:t>Table 8.2.4.2.1-2: Interruption duration for SCell addition/release for intra-band DC/CA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2890"/>
      </w:tblGrid>
      <w:tr w:rsidR="00AD7037" w:rsidRPr="00BE78B0" w14:paraId="44308EF5" w14:textId="77777777" w:rsidTr="00AD7037">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7C66AE8D" w14:textId="77777777" w:rsidR="00AD7037" w:rsidRPr="00BE78B0" w:rsidRDefault="00AD7037" w:rsidP="00AD7037">
            <w:pPr>
              <w:keepNext/>
              <w:keepLines/>
              <w:spacing w:after="0"/>
              <w:jc w:val="center"/>
            </w:pPr>
            <w:r w:rsidRPr="00BE78B0">
              <w:rPr>
                <w:rFonts w:ascii="Arial" w:hAnsi="Arial"/>
                <w:b/>
                <w:noProof/>
                <w:sz w:val="18"/>
                <w:lang w:val="en-US" w:eastAsia="zh-CN"/>
              </w:rPr>
              <w:drawing>
                <wp:inline distT="0" distB="0" distL="0" distR="0" wp14:anchorId="40F66A65" wp14:editId="485C88A5">
                  <wp:extent cx="142240" cy="160020"/>
                  <wp:effectExtent l="0" t="0" r="0" b="0"/>
                  <wp:docPr id="59" name="图片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0A435F39" w14:textId="77777777" w:rsidR="00AD7037" w:rsidRPr="00BE78B0" w:rsidRDefault="00AD7037" w:rsidP="00AD7037">
            <w:pPr>
              <w:keepNext/>
              <w:keepLines/>
              <w:spacing w:after="0"/>
              <w:jc w:val="center"/>
            </w:pPr>
            <w:r w:rsidRPr="00BE78B0">
              <w:rPr>
                <w:rFonts w:ascii="Arial" w:hAnsi="Arial"/>
                <w:b/>
                <w:sz w:val="18"/>
              </w:rPr>
              <w:t>NR Slot length (ms)</w:t>
            </w:r>
          </w:p>
        </w:tc>
        <w:tc>
          <w:tcPr>
            <w:tcW w:w="2890" w:type="dxa"/>
            <w:tcBorders>
              <w:top w:val="single" w:sz="4" w:space="0" w:color="auto"/>
              <w:left w:val="single" w:sz="4" w:space="0" w:color="auto"/>
              <w:bottom w:val="single" w:sz="4" w:space="0" w:color="auto"/>
              <w:right w:val="single" w:sz="4" w:space="0" w:color="auto"/>
            </w:tcBorders>
            <w:hideMark/>
          </w:tcPr>
          <w:p w14:paraId="55A8B4E5" w14:textId="77777777" w:rsidR="00AD7037" w:rsidRPr="00BE78B0" w:rsidRDefault="00AD7037" w:rsidP="00AD7037">
            <w:pPr>
              <w:keepNext/>
              <w:keepLines/>
              <w:spacing w:after="0"/>
              <w:jc w:val="center"/>
            </w:pPr>
            <w:r w:rsidRPr="00BE78B0">
              <w:rPr>
                <w:rFonts w:ascii="Arial" w:hAnsi="Arial"/>
                <w:b/>
                <w:sz w:val="18"/>
              </w:rPr>
              <w:t>Interruption length (slot)</w:t>
            </w:r>
          </w:p>
        </w:tc>
      </w:tr>
      <w:tr w:rsidR="00AD7037" w:rsidRPr="00BE78B0" w14:paraId="73E474DB" w14:textId="77777777" w:rsidTr="00AD7037">
        <w:trPr>
          <w:jc w:val="center"/>
        </w:trPr>
        <w:tc>
          <w:tcPr>
            <w:tcW w:w="649" w:type="dxa"/>
            <w:tcBorders>
              <w:top w:val="single" w:sz="4" w:space="0" w:color="auto"/>
              <w:left w:val="single" w:sz="4" w:space="0" w:color="auto"/>
              <w:bottom w:val="single" w:sz="4" w:space="0" w:color="auto"/>
              <w:right w:val="single" w:sz="4" w:space="0" w:color="auto"/>
            </w:tcBorders>
            <w:hideMark/>
          </w:tcPr>
          <w:p w14:paraId="15E917B6" w14:textId="77777777" w:rsidR="00AD7037" w:rsidRPr="00BE78B0" w:rsidRDefault="00AD7037" w:rsidP="00AD7037">
            <w:pPr>
              <w:pStyle w:val="TAC"/>
            </w:pPr>
            <w:r w:rsidRPr="00BE78B0">
              <w:t>0</w:t>
            </w:r>
          </w:p>
        </w:tc>
        <w:tc>
          <w:tcPr>
            <w:tcW w:w="992" w:type="dxa"/>
            <w:tcBorders>
              <w:top w:val="single" w:sz="4" w:space="0" w:color="auto"/>
              <w:left w:val="single" w:sz="4" w:space="0" w:color="auto"/>
              <w:bottom w:val="single" w:sz="4" w:space="0" w:color="auto"/>
              <w:right w:val="single" w:sz="4" w:space="0" w:color="auto"/>
            </w:tcBorders>
            <w:hideMark/>
          </w:tcPr>
          <w:p w14:paraId="2A3F5844" w14:textId="77777777" w:rsidR="00AD7037" w:rsidRPr="00BE78B0" w:rsidRDefault="00AD7037" w:rsidP="00AD7037">
            <w:pPr>
              <w:pStyle w:val="TAC"/>
            </w:pPr>
            <w:r w:rsidRPr="00BE78B0">
              <w:t>1</w:t>
            </w:r>
          </w:p>
        </w:tc>
        <w:tc>
          <w:tcPr>
            <w:tcW w:w="2890" w:type="dxa"/>
            <w:tcBorders>
              <w:top w:val="single" w:sz="4" w:space="0" w:color="auto"/>
              <w:left w:val="single" w:sz="4" w:space="0" w:color="auto"/>
              <w:bottom w:val="single" w:sz="4" w:space="0" w:color="auto"/>
              <w:right w:val="single" w:sz="4" w:space="0" w:color="auto"/>
            </w:tcBorders>
            <w:hideMark/>
          </w:tcPr>
          <w:p w14:paraId="5B29F68D" w14:textId="77777777" w:rsidR="00AD7037" w:rsidRPr="00BE78B0" w:rsidRDefault="00AD7037" w:rsidP="00AD7037">
            <w:pPr>
              <w:pStyle w:val="TAC"/>
              <w:rPr>
                <w:rFonts w:cs="Arial"/>
                <w:szCs w:val="18"/>
              </w:rPr>
            </w:pPr>
            <w:r w:rsidRPr="00BE78B0">
              <w:rPr>
                <w:rFonts w:cs="Arial"/>
                <w:szCs w:val="18"/>
              </w:rPr>
              <w:t xml:space="preserve">1 + </w:t>
            </w:r>
            <w:r w:rsidRPr="00BE78B0">
              <w:rPr>
                <w:rFonts w:cs="Arial"/>
                <w:szCs w:val="18"/>
                <w:lang w:eastAsia="zh-CN"/>
              </w:rPr>
              <w:t>T</w:t>
            </w:r>
            <w:r w:rsidRPr="00BE78B0">
              <w:rPr>
                <w:rFonts w:cs="Arial"/>
                <w:szCs w:val="18"/>
                <w:vertAlign w:val="subscript"/>
                <w:lang w:eastAsia="zh-CN"/>
              </w:rPr>
              <w:t>SMTC_duration</w:t>
            </w:r>
            <w:r w:rsidRPr="00BE78B0">
              <w:rPr>
                <w:rFonts w:cs="Arial"/>
                <w:szCs w:val="18"/>
              </w:rPr>
              <w:t xml:space="preserve"> </w:t>
            </w:r>
          </w:p>
        </w:tc>
      </w:tr>
      <w:tr w:rsidR="00AD7037" w:rsidRPr="00BE78B0" w14:paraId="50F4FC8C" w14:textId="77777777" w:rsidTr="00AD7037">
        <w:trPr>
          <w:jc w:val="center"/>
        </w:trPr>
        <w:tc>
          <w:tcPr>
            <w:tcW w:w="649" w:type="dxa"/>
            <w:tcBorders>
              <w:top w:val="single" w:sz="4" w:space="0" w:color="auto"/>
              <w:left w:val="single" w:sz="4" w:space="0" w:color="auto"/>
              <w:bottom w:val="single" w:sz="4" w:space="0" w:color="auto"/>
              <w:right w:val="single" w:sz="4" w:space="0" w:color="auto"/>
            </w:tcBorders>
            <w:hideMark/>
          </w:tcPr>
          <w:p w14:paraId="1E63FC82" w14:textId="77777777" w:rsidR="00AD7037" w:rsidRPr="00BE78B0" w:rsidRDefault="00AD7037" w:rsidP="00AD7037">
            <w:pPr>
              <w:pStyle w:val="TAC"/>
            </w:pPr>
            <w:r w:rsidRPr="00BE78B0">
              <w:t>1</w:t>
            </w:r>
          </w:p>
        </w:tc>
        <w:tc>
          <w:tcPr>
            <w:tcW w:w="992" w:type="dxa"/>
            <w:tcBorders>
              <w:top w:val="single" w:sz="4" w:space="0" w:color="auto"/>
              <w:left w:val="single" w:sz="4" w:space="0" w:color="auto"/>
              <w:bottom w:val="single" w:sz="4" w:space="0" w:color="auto"/>
              <w:right w:val="single" w:sz="4" w:space="0" w:color="auto"/>
            </w:tcBorders>
            <w:hideMark/>
          </w:tcPr>
          <w:p w14:paraId="7CDABFF2" w14:textId="77777777" w:rsidR="00AD7037" w:rsidRPr="00BE78B0" w:rsidRDefault="00AD7037" w:rsidP="00AD7037">
            <w:pPr>
              <w:pStyle w:val="TAC"/>
            </w:pPr>
            <w:r w:rsidRPr="00BE78B0">
              <w:t>0.5</w:t>
            </w:r>
          </w:p>
        </w:tc>
        <w:tc>
          <w:tcPr>
            <w:tcW w:w="2890" w:type="dxa"/>
            <w:tcBorders>
              <w:top w:val="single" w:sz="4" w:space="0" w:color="auto"/>
              <w:left w:val="single" w:sz="4" w:space="0" w:color="auto"/>
              <w:bottom w:val="single" w:sz="4" w:space="0" w:color="auto"/>
              <w:right w:val="single" w:sz="4" w:space="0" w:color="auto"/>
            </w:tcBorders>
            <w:hideMark/>
          </w:tcPr>
          <w:p w14:paraId="6F029402" w14:textId="77777777" w:rsidR="00AD7037" w:rsidRPr="00BE78B0" w:rsidRDefault="00AD7037" w:rsidP="00AD7037">
            <w:pPr>
              <w:pStyle w:val="TAC"/>
              <w:rPr>
                <w:rFonts w:cs="Arial"/>
                <w:szCs w:val="18"/>
              </w:rPr>
            </w:pPr>
            <w:r w:rsidRPr="00BE78B0">
              <w:rPr>
                <w:rFonts w:cs="Arial"/>
                <w:szCs w:val="18"/>
              </w:rPr>
              <w:t xml:space="preserve">2 + </w:t>
            </w:r>
            <w:r w:rsidRPr="00BE78B0">
              <w:rPr>
                <w:rFonts w:cs="Arial"/>
                <w:szCs w:val="18"/>
                <w:lang w:eastAsia="zh-CN"/>
              </w:rPr>
              <w:t>T</w:t>
            </w:r>
            <w:r w:rsidRPr="00BE78B0">
              <w:rPr>
                <w:rFonts w:cs="Arial"/>
                <w:szCs w:val="18"/>
                <w:vertAlign w:val="subscript"/>
                <w:lang w:eastAsia="zh-CN"/>
              </w:rPr>
              <w:t>SMTC_duration</w:t>
            </w:r>
            <w:r w:rsidRPr="00BE78B0">
              <w:rPr>
                <w:rFonts w:cs="Arial"/>
                <w:szCs w:val="18"/>
              </w:rPr>
              <w:t xml:space="preserve"> </w:t>
            </w:r>
          </w:p>
        </w:tc>
      </w:tr>
      <w:tr w:rsidR="00AD7037" w:rsidRPr="00BE78B0" w14:paraId="2F5E5EEA" w14:textId="77777777" w:rsidTr="00AD7037">
        <w:trPr>
          <w:jc w:val="center"/>
        </w:trPr>
        <w:tc>
          <w:tcPr>
            <w:tcW w:w="649" w:type="dxa"/>
            <w:tcBorders>
              <w:top w:val="single" w:sz="4" w:space="0" w:color="auto"/>
              <w:left w:val="single" w:sz="4" w:space="0" w:color="auto"/>
              <w:bottom w:val="single" w:sz="4" w:space="0" w:color="auto"/>
              <w:right w:val="single" w:sz="4" w:space="0" w:color="auto"/>
            </w:tcBorders>
            <w:hideMark/>
          </w:tcPr>
          <w:p w14:paraId="61896F62" w14:textId="77777777" w:rsidR="00AD7037" w:rsidRPr="00BE78B0" w:rsidRDefault="00AD7037" w:rsidP="00AD7037">
            <w:pPr>
              <w:pStyle w:val="TAC"/>
            </w:pPr>
            <w:r w:rsidRPr="00BE78B0">
              <w:t>2</w:t>
            </w:r>
          </w:p>
        </w:tc>
        <w:tc>
          <w:tcPr>
            <w:tcW w:w="992" w:type="dxa"/>
            <w:tcBorders>
              <w:top w:val="single" w:sz="4" w:space="0" w:color="auto"/>
              <w:left w:val="single" w:sz="4" w:space="0" w:color="auto"/>
              <w:bottom w:val="single" w:sz="4" w:space="0" w:color="auto"/>
              <w:right w:val="single" w:sz="4" w:space="0" w:color="auto"/>
            </w:tcBorders>
            <w:hideMark/>
          </w:tcPr>
          <w:p w14:paraId="7082EB59" w14:textId="77777777" w:rsidR="00AD7037" w:rsidRPr="00BE78B0" w:rsidRDefault="00AD7037" w:rsidP="00AD7037">
            <w:pPr>
              <w:pStyle w:val="TAC"/>
            </w:pPr>
            <w:r w:rsidRPr="00BE78B0">
              <w:t>0.25</w:t>
            </w:r>
          </w:p>
        </w:tc>
        <w:tc>
          <w:tcPr>
            <w:tcW w:w="2890" w:type="dxa"/>
            <w:tcBorders>
              <w:top w:val="single" w:sz="4" w:space="0" w:color="auto"/>
              <w:left w:val="single" w:sz="4" w:space="0" w:color="auto"/>
              <w:bottom w:val="single" w:sz="4" w:space="0" w:color="auto"/>
              <w:right w:val="single" w:sz="4" w:space="0" w:color="auto"/>
            </w:tcBorders>
            <w:hideMark/>
          </w:tcPr>
          <w:p w14:paraId="698BB2FC" w14:textId="77777777" w:rsidR="00AD7037" w:rsidRPr="00BE78B0" w:rsidRDefault="00AD7037" w:rsidP="00AD7037">
            <w:pPr>
              <w:pStyle w:val="TAC"/>
              <w:rPr>
                <w:rFonts w:cs="Arial"/>
                <w:szCs w:val="18"/>
              </w:rPr>
            </w:pPr>
            <w:r w:rsidRPr="00BE78B0">
              <w:rPr>
                <w:rFonts w:cs="Arial"/>
                <w:szCs w:val="18"/>
              </w:rPr>
              <w:t xml:space="preserve">4 + </w:t>
            </w:r>
            <w:r w:rsidRPr="00BE78B0">
              <w:rPr>
                <w:rFonts w:cs="Arial"/>
                <w:szCs w:val="18"/>
                <w:lang w:eastAsia="zh-CN"/>
              </w:rPr>
              <w:t>T</w:t>
            </w:r>
            <w:r w:rsidRPr="00BE78B0">
              <w:rPr>
                <w:rFonts w:cs="Arial"/>
                <w:szCs w:val="18"/>
                <w:vertAlign w:val="subscript"/>
                <w:lang w:eastAsia="zh-CN"/>
              </w:rPr>
              <w:t>SMTC_duration</w:t>
            </w:r>
            <w:r w:rsidRPr="00BE78B0">
              <w:rPr>
                <w:rFonts w:cs="Arial"/>
                <w:szCs w:val="18"/>
              </w:rPr>
              <w:t xml:space="preserve"> </w:t>
            </w:r>
          </w:p>
        </w:tc>
      </w:tr>
      <w:tr w:rsidR="00AD7037" w:rsidRPr="00BE78B0" w14:paraId="422D9563" w14:textId="77777777" w:rsidTr="00AD7037">
        <w:trPr>
          <w:jc w:val="center"/>
        </w:trPr>
        <w:tc>
          <w:tcPr>
            <w:tcW w:w="649" w:type="dxa"/>
            <w:tcBorders>
              <w:top w:val="single" w:sz="4" w:space="0" w:color="auto"/>
              <w:left w:val="single" w:sz="4" w:space="0" w:color="auto"/>
              <w:bottom w:val="single" w:sz="4" w:space="0" w:color="auto"/>
              <w:right w:val="single" w:sz="4" w:space="0" w:color="auto"/>
            </w:tcBorders>
            <w:hideMark/>
          </w:tcPr>
          <w:p w14:paraId="526C0A07" w14:textId="77777777" w:rsidR="00AD7037" w:rsidRPr="00BE78B0" w:rsidRDefault="00AD7037" w:rsidP="00AD7037">
            <w:pPr>
              <w:pStyle w:val="TAC"/>
            </w:pPr>
            <w:r w:rsidRPr="00BE78B0">
              <w:t>3</w:t>
            </w:r>
          </w:p>
        </w:tc>
        <w:tc>
          <w:tcPr>
            <w:tcW w:w="992" w:type="dxa"/>
            <w:tcBorders>
              <w:top w:val="single" w:sz="4" w:space="0" w:color="auto"/>
              <w:left w:val="single" w:sz="4" w:space="0" w:color="auto"/>
              <w:bottom w:val="single" w:sz="4" w:space="0" w:color="auto"/>
              <w:right w:val="single" w:sz="4" w:space="0" w:color="auto"/>
            </w:tcBorders>
            <w:hideMark/>
          </w:tcPr>
          <w:p w14:paraId="15C99247" w14:textId="77777777" w:rsidR="00AD7037" w:rsidRPr="00BE78B0" w:rsidRDefault="00AD7037" w:rsidP="00AD7037">
            <w:pPr>
              <w:pStyle w:val="TAC"/>
            </w:pPr>
            <w:r w:rsidRPr="00BE78B0">
              <w:t>0.125</w:t>
            </w:r>
          </w:p>
        </w:tc>
        <w:tc>
          <w:tcPr>
            <w:tcW w:w="2890" w:type="dxa"/>
            <w:tcBorders>
              <w:top w:val="single" w:sz="4" w:space="0" w:color="auto"/>
              <w:left w:val="single" w:sz="4" w:space="0" w:color="auto"/>
              <w:bottom w:val="single" w:sz="4" w:space="0" w:color="auto"/>
              <w:right w:val="single" w:sz="4" w:space="0" w:color="auto"/>
            </w:tcBorders>
            <w:hideMark/>
          </w:tcPr>
          <w:p w14:paraId="70FD5833" w14:textId="77777777" w:rsidR="00AD7037" w:rsidRPr="00BE78B0" w:rsidRDefault="00AD7037" w:rsidP="00AD7037">
            <w:pPr>
              <w:pStyle w:val="TAC"/>
              <w:rPr>
                <w:rFonts w:cs="Arial"/>
                <w:szCs w:val="18"/>
              </w:rPr>
            </w:pPr>
            <w:r w:rsidRPr="00BE78B0">
              <w:rPr>
                <w:rFonts w:cs="Arial"/>
                <w:szCs w:val="18"/>
              </w:rPr>
              <w:t xml:space="preserve">8 + </w:t>
            </w:r>
            <w:r w:rsidRPr="00BE78B0">
              <w:rPr>
                <w:rFonts w:cs="Arial"/>
                <w:szCs w:val="18"/>
                <w:lang w:eastAsia="zh-CN"/>
              </w:rPr>
              <w:t>T</w:t>
            </w:r>
            <w:r w:rsidRPr="00BE78B0">
              <w:rPr>
                <w:rFonts w:cs="Arial"/>
                <w:szCs w:val="18"/>
                <w:vertAlign w:val="subscript"/>
                <w:lang w:eastAsia="zh-CN"/>
              </w:rPr>
              <w:t>SMTC_duration</w:t>
            </w:r>
            <w:r w:rsidRPr="00BE78B0">
              <w:rPr>
                <w:rFonts w:cs="Arial"/>
                <w:szCs w:val="18"/>
              </w:rPr>
              <w:t xml:space="preserve"> </w:t>
            </w:r>
          </w:p>
        </w:tc>
      </w:tr>
      <w:tr w:rsidR="00AD7037" w:rsidRPr="00BE78B0" w14:paraId="783A5E67" w14:textId="77777777" w:rsidTr="00AD7037">
        <w:trPr>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69C8D05A" w14:textId="77777777" w:rsidR="00AD7037" w:rsidRPr="00BE78B0" w:rsidRDefault="00AD7037" w:rsidP="00AD7037">
            <w:pPr>
              <w:pStyle w:val="TAN"/>
              <w:rPr>
                <w:lang w:eastAsia="zh-CN"/>
              </w:rPr>
            </w:pPr>
            <w:r w:rsidRPr="00BE78B0">
              <w:t xml:space="preserve">Note: </w:t>
            </w:r>
            <w:r w:rsidRPr="00BE78B0">
              <w:tab/>
            </w:r>
            <w:r w:rsidRPr="00BE78B0">
              <w:rPr>
                <w:lang w:eastAsia="zh-CN"/>
              </w:rPr>
              <w:t>T</w:t>
            </w:r>
            <w:r w:rsidRPr="00BE78B0">
              <w:rPr>
                <w:vertAlign w:val="subscript"/>
                <w:lang w:eastAsia="zh-CN"/>
              </w:rPr>
              <w:t>SMTC_duration</w:t>
            </w:r>
            <w:r w:rsidRPr="00BE78B0">
              <w:rPr>
                <w:lang w:eastAsia="zh-CN"/>
              </w:rPr>
              <w:t xml:space="preserve"> is</w:t>
            </w:r>
          </w:p>
          <w:p w14:paraId="57EE0148" w14:textId="77777777" w:rsidR="00AD7037" w:rsidRPr="00BE78B0" w:rsidRDefault="00AD7037" w:rsidP="00AD7037">
            <w:pPr>
              <w:pStyle w:val="TAN"/>
            </w:pPr>
            <w:r w:rsidRPr="00BE78B0">
              <w:tab/>
              <w:t xml:space="preserve">- the longest SMTC duration </w:t>
            </w:r>
            <w:r w:rsidRPr="00BE78B0">
              <w:rPr>
                <w:lang w:eastAsia="zh-CN"/>
              </w:rPr>
              <w:t xml:space="preserve">among all above </w:t>
            </w:r>
            <w:r w:rsidRPr="00BE78B0">
              <w:t>active</w:t>
            </w:r>
            <w:r>
              <w:t xml:space="preserve"> </w:t>
            </w:r>
            <w:r w:rsidRPr="00BE78B0">
              <w:rPr>
                <w:lang w:eastAsia="zh-CN"/>
              </w:rPr>
              <w:t>serving cells</w:t>
            </w:r>
            <w:r w:rsidRPr="00BE78B0">
              <w:t xml:space="preserve"> and the SCell being added when one SCell is added;</w:t>
            </w:r>
          </w:p>
          <w:p w14:paraId="60B41945" w14:textId="77777777" w:rsidR="00AD7037" w:rsidRPr="00BE78B0" w:rsidRDefault="00AD7037" w:rsidP="00AD7037">
            <w:pPr>
              <w:pStyle w:val="TAN"/>
            </w:pPr>
            <w:r w:rsidRPr="00BE78B0">
              <w:tab/>
              <w:t xml:space="preserve">- the longest SMTC duration </w:t>
            </w:r>
            <w:r w:rsidRPr="00BE78B0">
              <w:rPr>
                <w:lang w:eastAsia="zh-CN"/>
              </w:rPr>
              <w:t xml:space="preserve">among all </w:t>
            </w:r>
            <w:r w:rsidRPr="00BE78B0">
              <w:t xml:space="preserve">active </w:t>
            </w:r>
            <w:r w:rsidRPr="00BE78B0">
              <w:rPr>
                <w:lang w:eastAsia="zh-CN"/>
              </w:rPr>
              <w:t>serving cells</w:t>
            </w:r>
            <w:r w:rsidRPr="00BE78B0">
              <w:t xml:space="preserve"> in the same band when one SCell is released.  </w:t>
            </w:r>
          </w:p>
        </w:tc>
      </w:tr>
    </w:tbl>
    <w:p w14:paraId="72449CA9" w14:textId="77777777" w:rsidR="00AD7037" w:rsidRDefault="00AD7037" w:rsidP="00AD7037">
      <w:pPr>
        <w:rPr>
          <w:lang w:val="en-US"/>
        </w:rPr>
      </w:pPr>
    </w:p>
    <w:p w14:paraId="4D3AFA5A" w14:textId="2130DA09" w:rsidR="00AD7037" w:rsidRPr="000B2291" w:rsidRDefault="00AD7037" w:rsidP="00AD7037">
      <w:pPr>
        <w:rPr>
          <w:b/>
          <w:bCs/>
          <w:lang w:val="en-US"/>
        </w:rPr>
      </w:pPr>
      <w:r w:rsidRPr="000B2291">
        <w:rPr>
          <w:b/>
          <w:bCs/>
          <w:lang w:val="en-US"/>
        </w:rPr>
        <w:t xml:space="preserve">Observation </w:t>
      </w:r>
      <w:r w:rsidR="00A227CF">
        <w:rPr>
          <w:b/>
          <w:bCs/>
          <w:lang w:val="en-US"/>
        </w:rPr>
        <w:t>5</w:t>
      </w:r>
      <w:r w:rsidRPr="000B2291">
        <w:rPr>
          <w:b/>
          <w:bCs/>
          <w:lang w:val="en-US"/>
        </w:rPr>
        <w:t>. Existing requirements in TS 3</w:t>
      </w:r>
      <w:r>
        <w:rPr>
          <w:b/>
          <w:bCs/>
          <w:lang w:val="en-US"/>
        </w:rPr>
        <w:t>8</w:t>
      </w:r>
      <w:r w:rsidRPr="000B2291">
        <w:rPr>
          <w:b/>
          <w:bCs/>
          <w:lang w:val="en-US"/>
        </w:rPr>
        <w:t xml:space="preserve">.133 for </w:t>
      </w:r>
      <w:r>
        <w:rPr>
          <w:b/>
          <w:bCs/>
          <w:lang w:val="en-US"/>
        </w:rPr>
        <w:t>NR-DC PSCell/</w:t>
      </w:r>
      <w:r w:rsidRPr="000B2291">
        <w:rPr>
          <w:b/>
          <w:bCs/>
          <w:lang w:val="en-US"/>
        </w:rPr>
        <w:t xml:space="preserve">SCell add/release in intra-band and inter-band can be used for inter-frequency HO interruptions. </w:t>
      </w:r>
    </w:p>
    <w:p w14:paraId="6AA32B61" w14:textId="0DB6BD70" w:rsidR="00AD7037" w:rsidRDefault="00AD7037" w:rsidP="00AD7037">
      <w:pPr>
        <w:rPr>
          <w:lang w:val="en-US"/>
        </w:rPr>
      </w:pPr>
      <w:r>
        <w:rPr>
          <w:lang w:val="en-US"/>
        </w:rPr>
        <w:lastRenderedPageBreak/>
        <w:t xml:space="preserve">Therefore, for intra-band inter-frequency scenarios, the interruption length is proposed to be as in Table 8.2.4.2.1-2 of </w:t>
      </w:r>
      <w:r w:rsidR="00A227CF">
        <w:rPr>
          <w:lang w:val="en-US"/>
        </w:rPr>
        <w:t>TS 38.133</w:t>
      </w:r>
      <w:r>
        <w:rPr>
          <w:lang w:val="en-US"/>
        </w:rPr>
        <w:t xml:space="preserve"> in synchronous scenarios (simultaneous connectivity in asynchronous intra-band for both DL and UL is FFS). This interruption is on source cell once target cell is added and applicable to both DL and UL. Similar interruption occurs on target cell once source cell is released. </w:t>
      </w:r>
    </w:p>
    <w:p w14:paraId="10C41C88" w14:textId="5364BDFB" w:rsidR="00AD7037" w:rsidRPr="00840031" w:rsidRDefault="00AD7037" w:rsidP="00AD7037">
      <w:pPr>
        <w:rPr>
          <w:b/>
          <w:bCs/>
          <w:lang w:val="en-US"/>
        </w:rPr>
      </w:pPr>
      <w:r w:rsidRPr="00840031">
        <w:rPr>
          <w:b/>
          <w:bCs/>
          <w:lang w:val="en-US"/>
        </w:rPr>
        <w:t xml:space="preserve">Proposal </w:t>
      </w:r>
      <w:r w:rsidR="00DE7BE2">
        <w:rPr>
          <w:b/>
          <w:bCs/>
          <w:lang w:val="en-US"/>
        </w:rPr>
        <w:t>7</w:t>
      </w:r>
      <w:r w:rsidRPr="00840031">
        <w:rPr>
          <w:b/>
          <w:bCs/>
          <w:lang w:val="en-US"/>
        </w:rPr>
        <w:t xml:space="preserve">. In intra-band inter-frequency </w:t>
      </w:r>
      <w:r>
        <w:rPr>
          <w:b/>
          <w:bCs/>
          <w:lang w:val="en-US"/>
        </w:rPr>
        <w:t xml:space="preserve">synchronous </w:t>
      </w:r>
      <w:r w:rsidRPr="00840031">
        <w:rPr>
          <w:b/>
          <w:bCs/>
          <w:lang w:val="en-US"/>
        </w:rPr>
        <w:t>scenario:</w:t>
      </w:r>
    </w:p>
    <w:p w14:paraId="4E873D49" w14:textId="77777777" w:rsidR="00AD7037" w:rsidRPr="00257B69" w:rsidRDefault="00AD7037" w:rsidP="00AD7037">
      <w:pPr>
        <w:pStyle w:val="ListParagraph"/>
        <w:numPr>
          <w:ilvl w:val="0"/>
          <w:numId w:val="45"/>
        </w:numPr>
        <w:rPr>
          <w:b/>
          <w:bCs/>
          <w:sz w:val="20"/>
          <w:szCs w:val="20"/>
        </w:rPr>
      </w:pPr>
      <w:r w:rsidRPr="00257B69">
        <w:rPr>
          <w:b/>
          <w:bCs/>
          <w:sz w:val="20"/>
          <w:szCs w:val="20"/>
        </w:rPr>
        <w:t xml:space="preserve">Source cell experiences an interruption when target cell is added following HO command. The interruption is on both DL and UL and its length is proposed to be </w:t>
      </w:r>
      <w:r>
        <w:rPr>
          <w:b/>
          <w:bCs/>
          <w:sz w:val="20"/>
          <w:szCs w:val="20"/>
        </w:rPr>
        <w:t>as defined in Table 8.2.4.2.1-2 of TS  38.133</w:t>
      </w:r>
      <w:r w:rsidRPr="00257B69">
        <w:rPr>
          <w:b/>
          <w:bCs/>
          <w:sz w:val="20"/>
          <w:szCs w:val="20"/>
        </w:rPr>
        <w:t>.</w:t>
      </w:r>
    </w:p>
    <w:p w14:paraId="3546F5FB" w14:textId="77777777" w:rsidR="00AD7037" w:rsidRDefault="00AD7037" w:rsidP="00AD7037">
      <w:pPr>
        <w:pStyle w:val="ListParagraph"/>
        <w:numPr>
          <w:ilvl w:val="0"/>
          <w:numId w:val="45"/>
        </w:numPr>
        <w:rPr>
          <w:b/>
          <w:bCs/>
          <w:sz w:val="20"/>
          <w:szCs w:val="20"/>
        </w:rPr>
      </w:pPr>
      <w:r w:rsidRPr="00840031">
        <w:rPr>
          <w:b/>
          <w:bCs/>
          <w:sz w:val="20"/>
          <w:szCs w:val="20"/>
        </w:rPr>
        <w:t>Target cell experiences an interruption when source cell is released following</w:t>
      </w:r>
      <w:r>
        <w:rPr>
          <w:b/>
          <w:bCs/>
          <w:sz w:val="20"/>
          <w:szCs w:val="20"/>
        </w:rPr>
        <w:t xml:space="preserve"> HO completion</w:t>
      </w:r>
      <w:r w:rsidRPr="00840031">
        <w:rPr>
          <w:b/>
          <w:bCs/>
          <w:sz w:val="20"/>
          <w:szCs w:val="20"/>
        </w:rPr>
        <w:t xml:space="preserve">. The interruption is on both DL and UL and its length is proposed to be </w:t>
      </w:r>
      <w:r>
        <w:rPr>
          <w:b/>
          <w:bCs/>
          <w:sz w:val="20"/>
          <w:szCs w:val="20"/>
        </w:rPr>
        <w:t>as defined in Table 8.2.4.2.1-2 of TS 38.133</w:t>
      </w:r>
      <w:r w:rsidRPr="00840031">
        <w:rPr>
          <w:b/>
          <w:bCs/>
          <w:sz w:val="20"/>
          <w:szCs w:val="20"/>
        </w:rPr>
        <w:t>.</w:t>
      </w:r>
    </w:p>
    <w:p w14:paraId="7E577D90" w14:textId="77777777" w:rsidR="00AD7037" w:rsidRPr="00D94D05" w:rsidRDefault="00AD7037" w:rsidP="00AD7037">
      <w:pPr>
        <w:pStyle w:val="ListParagraph"/>
        <w:ind w:left="765"/>
        <w:rPr>
          <w:b/>
          <w:bCs/>
          <w:sz w:val="20"/>
          <w:szCs w:val="20"/>
        </w:rPr>
      </w:pPr>
    </w:p>
    <w:p w14:paraId="7D790647" w14:textId="2DBFC3DD" w:rsidR="00AD7037" w:rsidRPr="00017CD5" w:rsidRDefault="00AD7037" w:rsidP="00AD7037">
      <w:pPr>
        <w:rPr>
          <w:lang w:val="en-US"/>
        </w:rPr>
      </w:pPr>
      <w:r w:rsidRPr="00017CD5">
        <w:t>Similarly, for</w:t>
      </w:r>
      <w:r>
        <w:t xml:space="preserve"> inter-band scenarios, the interruption length is proposed to be as defined in Table 8.2.4.2.1-1 of </w:t>
      </w:r>
      <w:r w:rsidR="00A227CF">
        <w:t>TS 38.133</w:t>
      </w:r>
      <w:r>
        <w:t xml:space="preserve">. </w:t>
      </w:r>
      <w:r>
        <w:rPr>
          <w:lang w:val="en-US"/>
        </w:rPr>
        <w:t xml:space="preserve">This interruption is on source cell once target cell is added and applicable to both DL and UL. Similar interruption occurs on target cell once source cell is released. </w:t>
      </w:r>
    </w:p>
    <w:p w14:paraId="26F2D37F" w14:textId="589421FF" w:rsidR="00AD7037" w:rsidRPr="00840031" w:rsidRDefault="00AD7037" w:rsidP="00AD7037">
      <w:pPr>
        <w:rPr>
          <w:b/>
          <w:bCs/>
          <w:lang w:val="en-US"/>
        </w:rPr>
      </w:pPr>
      <w:r w:rsidRPr="00840031">
        <w:rPr>
          <w:b/>
          <w:bCs/>
          <w:lang w:val="en-US"/>
        </w:rPr>
        <w:t xml:space="preserve">Proposal </w:t>
      </w:r>
      <w:r w:rsidR="00DE7BE2">
        <w:rPr>
          <w:b/>
          <w:bCs/>
          <w:lang w:val="en-US"/>
        </w:rPr>
        <w:t>8</w:t>
      </w:r>
      <w:r w:rsidRPr="00840031">
        <w:rPr>
          <w:b/>
          <w:bCs/>
          <w:lang w:val="en-US"/>
        </w:rPr>
        <w:t>. In int</w:t>
      </w:r>
      <w:r>
        <w:rPr>
          <w:b/>
          <w:bCs/>
          <w:lang w:val="en-US"/>
        </w:rPr>
        <w:t>er</w:t>
      </w:r>
      <w:r w:rsidRPr="00840031">
        <w:rPr>
          <w:b/>
          <w:bCs/>
          <w:lang w:val="en-US"/>
        </w:rPr>
        <w:t>-band inter-frequency scenario:</w:t>
      </w:r>
    </w:p>
    <w:p w14:paraId="4CA872CC" w14:textId="77777777" w:rsidR="00AD7037" w:rsidRPr="00840031" w:rsidRDefault="00AD7037" w:rsidP="00AD7037">
      <w:pPr>
        <w:pStyle w:val="ListParagraph"/>
        <w:numPr>
          <w:ilvl w:val="0"/>
          <w:numId w:val="45"/>
        </w:numPr>
        <w:rPr>
          <w:b/>
          <w:bCs/>
          <w:sz w:val="20"/>
          <w:szCs w:val="20"/>
        </w:rPr>
      </w:pPr>
      <w:r w:rsidRPr="00840031">
        <w:rPr>
          <w:b/>
          <w:bCs/>
          <w:sz w:val="20"/>
          <w:szCs w:val="20"/>
        </w:rPr>
        <w:t>Source cell experiences an interruption when target cell is added following HO command. The interruption is on both DL and UL and its length is proposed to be</w:t>
      </w:r>
      <w:r>
        <w:rPr>
          <w:b/>
          <w:bCs/>
          <w:sz w:val="20"/>
          <w:szCs w:val="20"/>
        </w:rPr>
        <w:t xml:space="preserve"> as defined in Table 8.2.4.2.1-1 of TS 38.133 in synchronous scenarios</w:t>
      </w:r>
      <w:r w:rsidRPr="00840031">
        <w:rPr>
          <w:b/>
          <w:bCs/>
          <w:sz w:val="20"/>
          <w:szCs w:val="20"/>
        </w:rPr>
        <w:t>.</w:t>
      </w:r>
      <w:r>
        <w:rPr>
          <w:b/>
          <w:bCs/>
          <w:sz w:val="20"/>
          <w:szCs w:val="20"/>
        </w:rPr>
        <w:t xml:space="preserve"> For asynchronous scenarios, the interruption length is proposed to be 1ms longer. </w:t>
      </w:r>
    </w:p>
    <w:p w14:paraId="7548D6C5" w14:textId="77777777" w:rsidR="00AD7037" w:rsidRPr="003A29FC" w:rsidRDefault="00AD7037" w:rsidP="00AD7037">
      <w:pPr>
        <w:pStyle w:val="ListParagraph"/>
        <w:numPr>
          <w:ilvl w:val="0"/>
          <w:numId w:val="45"/>
        </w:numPr>
        <w:rPr>
          <w:b/>
          <w:bCs/>
          <w:sz w:val="20"/>
          <w:szCs w:val="20"/>
        </w:rPr>
      </w:pPr>
      <w:r w:rsidRPr="00840031">
        <w:rPr>
          <w:b/>
          <w:bCs/>
          <w:sz w:val="20"/>
          <w:szCs w:val="20"/>
        </w:rPr>
        <w:t xml:space="preserve">Target cell experiences an interruption when source cell is released following </w:t>
      </w:r>
      <w:r>
        <w:rPr>
          <w:b/>
          <w:bCs/>
          <w:sz w:val="20"/>
          <w:szCs w:val="20"/>
        </w:rPr>
        <w:t>HO completion.</w:t>
      </w:r>
      <w:r w:rsidRPr="00840031">
        <w:rPr>
          <w:b/>
          <w:bCs/>
          <w:sz w:val="20"/>
          <w:szCs w:val="20"/>
        </w:rPr>
        <w:t xml:space="preserve"> The interruption is on both DL and UL and its length is proposed to be </w:t>
      </w:r>
      <w:r>
        <w:rPr>
          <w:b/>
          <w:bCs/>
          <w:sz w:val="20"/>
          <w:szCs w:val="20"/>
        </w:rPr>
        <w:t>as defined in Table 8.2.4.2.1-1 of TS 38.133 in synchronous scenarios</w:t>
      </w:r>
      <w:r w:rsidRPr="00840031">
        <w:rPr>
          <w:b/>
          <w:bCs/>
          <w:sz w:val="20"/>
          <w:szCs w:val="20"/>
        </w:rPr>
        <w:t>.</w:t>
      </w:r>
      <w:r>
        <w:rPr>
          <w:b/>
          <w:bCs/>
          <w:sz w:val="20"/>
          <w:szCs w:val="20"/>
        </w:rPr>
        <w:t xml:space="preserve"> For asynchronous scenarios, the interruption length is proposed to be 1ms longer. </w:t>
      </w:r>
    </w:p>
    <w:p w14:paraId="06643B88" w14:textId="77777777" w:rsidR="00AD7037" w:rsidRPr="000E7931" w:rsidRDefault="00AD7037" w:rsidP="00AD7037">
      <w:pPr>
        <w:pStyle w:val="ListParagraph"/>
        <w:ind w:left="765"/>
        <w:rPr>
          <w:b/>
          <w:bCs/>
          <w:sz w:val="20"/>
          <w:szCs w:val="20"/>
        </w:rPr>
      </w:pPr>
    </w:p>
    <w:p w14:paraId="4E4C7C8A" w14:textId="7E501416" w:rsidR="00AD7037" w:rsidRDefault="00C934DA" w:rsidP="00A227CF">
      <w:pPr>
        <w:pStyle w:val="Heading2"/>
        <w:rPr>
          <w:lang w:val="en-US"/>
        </w:rPr>
      </w:pPr>
      <w:r>
        <w:rPr>
          <w:lang w:val="en-US"/>
        </w:rPr>
        <w:t xml:space="preserve"> </w:t>
      </w:r>
      <w:r w:rsidR="00AD7037">
        <w:rPr>
          <w:lang w:val="en-US"/>
        </w:rPr>
        <w:t>Interruptions in intra-frequency HO</w:t>
      </w:r>
    </w:p>
    <w:p w14:paraId="67529372" w14:textId="77777777" w:rsidR="00AD7037" w:rsidRDefault="00AD7037" w:rsidP="00AD7037">
      <w:pPr>
        <w:rPr>
          <w:lang w:val="en-US"/>
        </w:rPr>
      </w:pPr>
      <w:r>
        <w:rPr>
          <w:lang w:val="en-US"/>
        </w:rPr>
        <w:t xml:space="preserve">It is reiterated that the following discussion assumes a UE implementation with 1Tx which necessitates TDM UL pattern. </w:t>
      </w:r>
    </w:p>
    <w:p w14:paraId="65EF6A08" w14:textId="77777777" w:rsidR="00AD7037" w:rsidRDefault="00AD7037" w:rsidP="00AD7037">
      <w:pPr>
        <w:rPr>
          <w:lang w:val="en-US"/>
        </w:rPr>
      </w:pPr>
      <w:r>
        <w:rPr>
          <w:lang w:val="en-US"/>
        </w:rPr>
        <w:t xml:space="preserve">In the simplest case of same BWP and system BW (same </w:t>
      </w:r>
      <w:r w:rsidRPr="009A0A8C">
        <w:rPr>
          <w:i/>
          <w:iCs/>
          <w:lang w:val="en-US"/>
        </w:rPr>
        <w:t>locationAndBandwidth</w:t>
      </w:r>
      <w:r>
        <w:rPr>
          <w:lang w:val="en-US"/>
        </w:rPr>
        <w:t xml:space="preserve"> and </w:t>
      </w:r>
      <w:r w:rsidRPr="009A0A8C">
        <w:rPr>
          <w:i/>
          <w:iCs/>
          <w:lang w:val="en-US"/>
        </w:rPr>
        <w:t>nrofSRS-Ports</w:t>
      </w:r>
      <w:r>
        <w:rPr>
          <w:lang w:val="en-US"/>
        </w:rPr>
        <w:t>) between source and target cells and synchronous deployment, UE will need to perform the following tasks which cause interruption.</w:t>
      </w:r>
    </w:p>
    <w:p w14:paraId="2CC3AB25" w14:textId="77777777" w:rsidR="00AD7037" w:rsidRPr="00E23D38" w:rsidRDefault="00AD7037" w:rsidP="00AD7037">
      <w:pPr>
        <w:pStyle w:val="ListParagraph"/>
        <w:numPr>
          <w:ilvl w:val="0"/>
          <w:numId w:val="47"/>
        </w:numPr>
        <w:rPr>
          <w:sz w:val="20"/>
          <w:szCs w:val="20"/>
        </w:rPr>
      </w:pPr>
      <w:r w:rsidRPr="00E23D38">
        <w:rPr>
          <w:sz w:val="20"/>
          <w:szCs w:val="20"/>
        </w:rPr>
        <w:t xml:space="preserve">Upon reception of the HO command which requires addition of the target cell, UE should activate an additional baseband module and enable streaming of RF samples into the new module </w:t>
      </w:r>
    </w:p>
    <w:p w14:paraId="6989760B" w14:textId="77777777" w:rsidR="00AD7037" w:rsidRPr="00E23D38" w:rsidRDefault="00AD7037" w:rsidP="00AD7037">
      <w:pPr>
        <w:pStyle w:val="ListParagraph"/>
        <w:numPr>
          <w:ilvl w:val="0"/>
          <w:numId w:val="47"/>
        </w:numPr>
        <w:rPr>
          <w:sz w:val="20"/>
          <w:szCs w:val="20"/>
        </w:rPr>
      </w:pPr>
      <w:r w:rsidRPr="00E23D38">
        <w:rPr>
          <w:sz w:val="20"/>
          <w:szCs w:val="20"/>
        </w:rPr>
        <w:t xml:space="preserve">Upon completion of the HO procedure and when NW releases the source cell, UE should deactivate the baseband module related to source cell and disable streaming of RF samples into it </w:t>
      </w:r>
    </w:p>
    <w:p w14:paraId="59826866" w14:textId="77777777" w:rsidR="00AD7037" w:rsidRDefault="00AD7037" w:rsidP="00AD7037"/>
    <w:p w14:paraId="7AEBFA2D" w14:textId="77777777" w:rsidR="00AD7037" w:rsidRDefault="00AD7037" w:rsidP="00AD7037">
      <w:r>
        <w:t xml:space="preserve">We propose to use Table 8.2.4.2.1-1 for these interruptions in the synchronous deployment and to add an additional 1ms for asynchronous scenarios. </w:t>
      </w:r>
    </w:p>
    <w:p w14:paraId="49E98A7B" w14:textId="77777777" w:rsidR="00AD7037" w:rsidRDefault="00AD7037" w:rsidP="00AD7037">
      <w:r>
        <w:t>In asynchronous deployments, an additional 1ms is proposed to account for misalignment of subframe boundary and adjustment of UL timing due to TA difference upon reception of HO command.</w:t>
      </w:r>
    </w:p>
    <w:p w14:paraId="1F726D86" w14:textId="17C27DFD" w:rsidR="00AD7037" w:rsidRPr="007520E5" w:rsidRDefault="00AD7037" w:rsidP="00AD7037">
      <w:pPr>
        <w:rPr>
          <w:b/>
          <w:bCs/>
        </w:rPr>
      </w:pPr>
      <w:r w:rsidRPr="007520E5">
        <w:rPr>
          <w:b/>
          <w:bCs/>
        </w:rPr>
        <w:t xml:space="preserve">Proposal </w:t>
      </w:r>
      <w:r w:rsidR="00DE7BE2">
        <w:rPr>
          <w:b/>
          <w:bCs/>
        </w:rPr>
        <w:t>9</w:t>
      </w:r>
      <w:r w:rsidRPr="007520E5">
        <w:rPr>
          <w:b/>
          <w:bCs/>
        </w:rPr>
        <w:t xml:space="preserve">. In intra-frequency scenarios with </w:t>
      </w:r>
      <w:r>
        <w:rPr>
          <w:b/>
          <w:bCs/>
        </w:rPr>
        <w:t>same</w:t>
      </w:r>
      <w:r w:rsidRPr="007520E5">
        <w:rPr>
          <w:b/>
          <w:bCs/>
        </w:rPr>
        <w:t xml:space="preserve"> BW</w:t>
      </w:r>
      <w:r>
        <w:rPr>
          <w:b/>
          <w:bCs/>
        </w:rPr>
        <w:t>P</w:t>
      </w:r>
      <w:r w:rsidRPr="007520E5">
        <w:rPr>
          <w:b/>
          <w:bCs/>
        </w:rPr>
        <w:t xml:space="preserve"> </w:t>
      </w:r>
      <w:r>
        <w:rPr>
          <w:b/>
          <w:bCs/>
        </w:rPr>
        <w:t xml:space="preserve">and system BW </w:t>
      </w:r>
      <w:r w:rsidRPr="007520E5">
        <w:rPr>
          <w:b/>
          <w:bCs/>
        </w:rPr>
        <w:t>between source and target cells</w:t>
      </w:r>
      <w:r>
        <w:rPr>
          <w:b/>
          <w:bCs/>
        </w:rPr>
        <w:t xml:space="preserve">, the </w:t>
      </w:r>
      <w:r w:rsidRPr="007520E5">
        <w:rPr>
          <w:b/>
          <w:bCs/>
        </w:rPr>
        <w:t xml:space="preserve">interruption time in both DL and UL </w:t>
      </w:r>
      <w:r>
        <w:rPr>
          <w:b/>
          <w:bCs/>
        </w:rPr>
        <w:t xml:space="preserve">for a 1-Tx capable UE </w:t>
      </w:r>
      <w:r w:rsidRPr="007520E5">
        <w:rPr>
          <w:b/>
          <w:bCs/>
        </w:rPr>
        <w:t>to be</w:t>
      </w:r>
      <w:r>
        <w:rPr>
          <w:b/>
          <w:bCs/>
        </w:rPr>
        <w:t xml:space="preserve"> according to Table 8.2.4.2.1-1 of TS 38.133 for synchronous scenarios and Table 8.2.4.2.1-1 of TS 38.133 plus 1ms for asynchronous scenarios when UE</w:t>
      </w:r>
      <w:r w:rsidRPr="007520E5">
        <w:rPr>
          <w:b/>
          <w:bCs/>
        </w:rPr>
        <w:t>:</w:t>
      </w:r>
    </w:p>
    <w:p w14:paraId="03E0632F" w14:textId="77777777" w:rsidR="00AD7037" w:rsidRPr="007520E5" w:rsidRDefault="00AD7037" w:rsidP="00AD7037">
      <w:pPr>
        <w:pStyle w:val="ListParagraph"/>
        <w:numPr>
          <w:ilvl w:val="0"/>
          <w:numId w:val="46"/>
        </w:numPr>
        <w:rPr>
          <w:b/>
          <w:bCs/>
          <w:sz w:val="20"/>
          <w:szCs w:val="20"/>
        </w:rPr>
      </w:pPr>
      <w:r>
        <w:rPr>
          <w:b/>
          <w:bCs/>
          <w:sz w:val="20"/>
          <w:szCs w:val="20"/>
        </w:rPr>
        <w:t>R</w:t>
      </w:r>
      <w:r w:rsidRPr="007520E5">
        <w:rPr>
          <w:b/>
          <w:bCs/>
          <w:sz w:val="20"/>
          <w:szCs w:val="20"/>
        </w:rPr>
        <w:t>eceives the HO command and adds the target cell</w:t>
      </w:r>
    </w:p>
    <w:p w14:paraId="5249A9B6" w14:textId="77777777" w:rsidR="00AD7037" w:rsidRDefault="00AD7037" w:rsidP="00AD7037">
      <w:pPr>
        <w:pStyle w:val="ListParagraph"/>
        <w:numPr>
          <w:ilvl w:val="0"/>
          <w:numId w:val="46"/>
        </w:numPr>
        <w:rPr>
          <w:b/>
          <w:bCs/>
          <w:sz w:val="20"/>
          <w:szCs w:val="20"/>
        </w:rPr>
      </w:pPr>
      <w:r>
        <w:rPr>
          <w:b/>
          <w:bCs/>
          <w:sz w:val="20"/>
          <w:szCs w:val="20"/>
        </w:rPr>
        <w:t>C</w:t>
      </w:r>
      <w:r w:rsidRPr="007520E5">
        <w:rPr>
          <w:b/>
          <w:bCs/>
          <w:sz w:val="20"/>
          <w:szCs w:val="20"/>
        </w:rPr>
        <w:t>ompletes the HO and releases the source cell</w:t>
      </w:r>
    </w:p>
    <w:p w14:paraId="6F008853" w14:textId="77777777" w:rsidR="00AD7037" w:rsidRDefault="00AD7037" w:rsidP="00AD7037">
      <w:pPr>
        <w:pStyle w:val="ListParagraph"/>
        <w:ind w:left="825"/>
        <w:rPr>
          <w:b/>
          <w:bCs/>
          <w:sz w:val="20"/>
          <w:szCs w:val="20"/>
        </w:rPr>
      </w:pPr>
    </w:p>
    <w:p w14:paraId="027AD6DC" w14:textId="5F2B3D5D" w:rsidR="00AD7037" w:rsidRDefault="00AD7037" w:rsidP="00AD7037">
      <w:r>
        <w:t>When source cell BWP is larger than target cell BWP and contains it, UE needs to retune its RF after HO completion and release of source cell as discussed in Section 2 (Observation 1). It is proposed to add an additional interruption to the window at source cell release to account for RF retuning. This is similar to BWP switching delay specified in clause 8.6.2 in which UE is not required to transmit UL signals or receive DL signals during time duration T</w:t>
      </w:r>
      <w:r w:rsidRPr="00BA46FE">
        <w:rPr>
          <w:vertAlign w:val="subscript"/>
        </w:rPr>
        <w:t xml:space="preserve">BWPSwitchDelay </w:t>
      </w:r>
      <w:r>
        <w:t xml:space="preserve"> on the cell where BWP switch occurs. For the additional interruption related to RF retune in intra-frequency, it is proposed to use Table 8.6.2-1 of </w:t>
      </w:r>
      <w:r w:rsidR="00A227CF">
        <w:t>TS 38.133</w:t>
      </w:r>
      <w:r>
        <w:t xml:space="preserve"> reproduced here:</w:t>
      </w:r>
    </w:p>
    <w:p w14:paraId="3D916F64" w14:textId="77777777" w:rsidR="00AD7037" w:rsidRPr="00BE78B0" w:rsidRDefault="00AD7037" w:rsidP="00AD7037">
      <w:pPr>
        <w:pStyle w:val="TH"/>
      </w:pPr>
      <w:r w:rsidRPr="00BE78B0">
        <w:lastRenderedPageBreak/>
        <w:t>Table 8.6.2-1: BWP switch delay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gridCol w:w="1969"/>
      </w:tblGrid>
      <w:tr w:rsidR="00AD7037" w:rsidRPr="00BE78B0" w14:paraId="25E7AEED" w14:textId="77777777" w:rsidTr="00AD7037">
        <w:trPr>
          <w:trHeight w:val="305"/>
          <w:jc w:val="center"/>
        </w:trPr>
        <w:tc>
          <w:tcPr>
            <w:tcW w:w="649" w:type="dxa"/>
            <w:vMerge w:val="restart"/>
            <w:shd w:val="clear" w:color="auto" w:fill="auto"/>
            <w:vAlign w:val="center"/>
          </w:tcPr>
          <w:p w14:paraId="0F6B3563" w14:textId="77777777" w:rsidR="00AD7037" w:rsidRPr="00BE78B0" w:rsidRDefault="00AD7037" w:rsidP="00AD7037">
            <w:pPr>
              <w:pStyle w:val="TAH"/>
            </w:pPr>
            <w:r w:rsidRPr="00BE78B0">
              <w:rPr>
                <w:noProof/>
                <w:lang w:val="en-US" w:eastAsia="zh-CN"/>
              </w:rPr>
              <w:drawing>
                <wp:inline distT="0" distB="0" distL="0" distR="0" wp14:anchorId="20F3079F" wp14:editId="267824E6">
                  <wp:extent cx="142875" cy="161925"/>
                  <wp:effectExtent l="0" t="0" r="0" b="0"/>
                  <wp:docPr id="7"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42875" cy="161925"/>
                          </a:xfrm>
                          <a:prstGeom prst="rect">
                            <a:avLst/>
                          </a:prstGeom>
                          <a:noFill/>
                          <a:ln>
                            <a:noFill/>
                          </a:ln>
                        </pic:spPr>
                      </pic:pic>
                    </a:graphicData>
                  </a:graphic>
                </wp:inline>
              </w:drawing>
            </w:r>
          </w:p>
        </w:tc>
        <w:tc>
          <w:tcPr>
            <w:tcW w:w="992" w:type="dxa"/>
            <w:vMerge w:val="restart"/>
          </w:tcPr>
          <w:p w14:paraId="1EEBCA38" w14:textId="77777777" w:rsidR="00AD7037" w:rsidRPr="00BE78B0" w:rsidRDefault="00AD7037" w:rsidP="00AD7037">
            <w:pPr>
              <w:pStyle w:val="TAH"/>
            </w:pPr>
            <w:r w:rsidRPr="00BE78B0">
              <w:t>NR Slot length (ms)</w:t>
            </w:r>
          </w:p>
        </w:tc>
        <w:tc>
          <w:tcPr>
            <w:tcW w:w="3938" w:type="dxa"/>
            <w:gridSpan w:val="2"/>
          </w:tcPr>
          <w:p w14:paraId="56B9831C" w14:textId="77777777" w:rsidR="00AD7037" w:rsidRPr="00BE78B0" w:rsidRDefault="00AD7037" w:rsidP="00AD7037">
            <w:pPr>
              <w:pStyle w:val="TAH"/>
              <w:rPr>
                <w:lang w:eastAsia="zh-CN"/>
              </w:rPr>
            </w:pPr>
            <w:r w:rsidRPr="00BE78B0">
              <w:rPr>
                <w:lang w:eastAsia="zh-CN"/>
              </w:rPr>
              <w:t>BWP switch delay T</w:t>
            </w:r>
            <w:r w:rsidRPr="00BE78B0">
              <w:rPr>
                <w:vertAlign w:val="subscript"/>
                <w:lang w:eastAsia="zh-CN"/>
              </w:rPr>
              <w:t>BWPswitchDelay</w:t>
            </w:r>
            <w:r w:rsidRPr="00BE78B0">
              <w:rPr>
                <w:lang w:eastAsia="zh-CN"/>
              </w:rPr>
              <w:t xml:space="preserve"> (slots)</w:t>
            </w:r>
          </w:p>
        </w:tc>
      </w:tr>
      <w:tr w:rsidR="00AD7037" w:rsidRPr="00BE78B0" w14:paraId="1711A0E9" w14:textId="77777777" w:rsidTr="00AD7037">
        <w:trPr>
          <w:trHeight w:val="306"/>
          <w:jc w:val="center"/>
        </w:trPr>
        <w:tc>
          <w:tcPr>
            <w:tcW w:w="649" w:type="dxa"/>
            <w:vMerge/>
            <w:shd w:val="clear" w:color="auto" w:fill="auto"/>
            <w:vAlign w:val="center"/>
          </w:tcPr>
          <w:p w14:paraId="442E8733" w14:textId="77777777" w:rsidR="00AD7037" w:rsidRPr="00BE78B0" w:rsidRDefault="00AD7037" w:rsidP="00AD7037">
            <w:pPr>
              <w:pStyle w:val="TAH"/>
            </w:pPr>
          </w:p>
        </w:tc>
        <w:tc>
          <w:tcPr>
            <w:tcW w:w="992" w:type="dxa"/>
            <w:vMerge/>
          </w:tcPr>
          <w:p w14:paraId="480585D8" w14:textId="77777777" w:rsidR="00AD7037" w:rsidRPr="00BE78B0" w:rsidRDefault="00AD7037" w:rsidP="00AD7037">
            <w:pPr>
              <w:pStyle w:val="TAH"/>
            </w:pPr>
          </w:p>
        </w:tc>
        <w:tc>
          <w:tcPr>
            <w:tcW w:w="1969" w:type="dxa"/>
          </w:tcPr>
          <w:p w14:paraId="16EC92E7" w14:textId="77777777" w:rsidR="00AD7037" w:rsidRPr="00BE78B0" w:rsidRDefault="00AD7037" w:rsidP="00AD7037">
            <w:pPr>
              <w:pStyle w:val="TAH"/>
              <w:rPr>
                <w:vertAlign w:val="superscript"/>
                <w:lang w:eastAsia="zh-CN"/>
              </w:rPr>
            </w:pPr>
            <w:r w:rsidRPr="00BE78B0">
              <w:rPr>
                <w:lang w:eastAsia="zh-CN"/>
              </w:rPr>
              <w:t>Type 1</w:t>
            </w:r>
            <w:r w:rsidRPr="00BE78B0">
              <w:rPr>
                <w:vertAlign w:val="superscript"/>
                <w:lang w:eastAsia="zh-CN"/>
              </w:rPr>
              <w:t>Note 1</w:t>
            </w:r>
          </w:p>
        </w:tc>
        <w:tc>
          <w:tcPr>
            <w:tcW w:w="1969" w:type="dxa"/>
          </w:tcPr>
          <w:p w14:paraId="0CCC5CD2" w14:textId="77777777" w:rsidR="00AD7037" w:rsidRPr="00BE78B0" w:rsidRDefault="00AD7037" w:rsidP="00AD7037">
            <w:pPr>
              <w:pStyle w:val="TAH"/>
              <w:rPr>
                <w:vertAlign w:val="superscript"/>
                <w:lang w:eastAsia="zh-CN"/>
              </w:rPr>
            </w:pPr>
            <w:r w:rsidRPr="00BE78B0">
              <w:rPr>
                <w:lang w:eastAsia="zh-CN"/>
              </w:rPr>
              <w:t>Type 2</w:t>
            </w:r>
            <w:r w:rsidRPr="00BE78B0">
              <w:rPr>
                <w:vertAlign w:val="superscript"/>
                <w:lang w:eastAsia="zh-CN"/>
              </w:rPr>
              <w:t>Note 1</w:t>
            </w:r>
          </w:p>
        </w:tc>
      </w:tr>
      <w:tr w:rsidR="00AD7037" w:rsidRPr="00BE78B0" w:rsidDel="00FC0501" w14:paraId="100D480C" w14:textId="77777777" w:rsidTr="00AD7037">
        <w:trPr>
          <w:jc w:val="center"/>
        </w:trPr>
        <w:tc>
          <w:tcPr>
            <w:tcW w:w="649" w:type="dxa"/>
            <w:shd w:val="clear" w:color="auto" w:fill="auto"/>
          </w:tcPr>
          <w:p w14:paraId="1A56BC1A" w14:textId="77777777" w:rsidR="00AD7037" w:rsidRPr="00BE78B0" w:rsidRDefault="00AD7037" w:rsidP="00AD7037">
            <w:pPr>
              <w:pStyle w:val="TAC"/>
            </w:pPr>
            <w:r w:rsidRPr="00BE78B0">
              <w:t>0</w:t>
            </w:r>
          </w:p>
        </w:tc>
        <w:tc>
          <w:tcPr>
            <w:tcW w:w="992" w:type="dxa"/>
          </w:tcPr>
          <w:p w14:paraId="0C7AE06E" w14:textId="77777777" w:rsidR="00AD7037" w:rsidRPr="00BE78B0" w:rsidRDefault="00AD7037" w:rsidP="00AD7037">
            <w:pPr>
              <w:pStyle w:val="TAC"/>
            </w:pPr>
            <w:r w:rsidRPr="00BE78B0">
              <w:t>1</w:t>
            </w:r>
          </w:p>
        </w:tc>
        <w:tc>
          <w:tcPr>
            <w:tcW w:w="1969" w:type="dxa"/>
            <w:shd w:val="clear" w:color="auto" w:fill="auto"/>
          </w:tcPr>
          <w:p w14:paraId="61008B2A" w14:textId="77777777" w:rsidR="00AD7037" w:rsidRPr="00BE78B0" w:rsidRDefault="00AD7037" w:rsidP="00AD7037">
            <w:pPr>
              <w:pStyle w:val="TAC"/>
            </w:pPr>
            <w:r w:rsidRPr="00BE78B0">
              <w:t>1</w:t>
            </w:r>
          </w:p>
        </w:tc>
        <w:tc>
          <w:tcPr>
            <w:tcW w:w="1969" w:type="dxa"/>
          </w:tcPr>
          <w:p w14:paraId="6CE7B4BA" w14:textId="77777777" w:rsidR="00AD7037" w:rsidRPr="00BE78B0" w:rsidRDefault="00AD7037" w:rsidP="00AD7037">
            <w:pPr>
              <w:pStyle w:val="TAC"/>
            </w:pPr>
            <w:r w:rsidRPr="00BE78B0">
              <w:t>3</w:t>
            </w:r>
          </w:p>
        </w:tc>
      </w:tr>
      <w:tr w:rsidR="00AD7037" w:rsidRPr="00BE78B0" w:rsidDel="00FC0501" w14:paraId="6CC200F9" w14:textId="77777777" w:rsidTr="00AD7037">
        <w:trPr>
          <w:jc w:val="center"/>
        </w:trPr>
        <w:tc>
          <w:tcPr>
            <w:tcW w:w="649" w:type="dxa"/>
            <w:shd w:val="clear" w:color="auto" w:fill="auto"/>
          </w:tcPr>
          <w:p w14:paraId="6891AD3A" w14:textId="77777777" w:rsidR="00AD7037" w:rsidRPr="00BE78B0" w:rsidRDefault="00AD7037" w:rsidP="00AD7037">
            <w:pPr>
              <w:pStyle w:val="TAC"/>
            </w:pPr>
            <w:r w:rsidRPr="00BE78B0">
              <w:t>1</w:t>
            </w:r>
          </w:p>
        </w:tc>
        <w:tc>
          <w:tcPr>
            <w:tcW w:w="992" w:type="dxa"/>
          </w:tcPr>
          <w:p w14:paraId="37AF851A" w14:textId="77777777" w:rsidR="00AD7037" w:rsidRPr="00BE78B0" w:rsidRDefault="00AD7037" w:rsidP="00AD7037">
            <w:pPr>
              <w:pStyle w:val="TAC"/>
            </w:pPr>
            <w:r w:rsidRPr="00BE78B0">
              <w:t>0.5</w:t>
            </w:r>
          </w:p>
        </w:tc>
        <w:tc>
          <w:tcPr>
            <w:tcW w:w="1969" w:type="dxa"/>
            <w:shd w:val="clear" w:color="auto" w:fill="auto"/>
          </w:tcPr>
          <w:p w14:paraId="63921A06" w14:textId="77777777" w:rsidR="00AD7037" w:rsidRPr="00BE78B0" w:rsidRDefault="00AD7037" w:rsidP="00AD7037">
            <w:pPr>
              <w:pStyle w:val="TAC"/>
            </w:pPr>
            <w:r w:rsidRPr="00BE78B0">
              <w:t>2</w:t>
            </w:r>
          </w:p>
        </w:tc>
        <w:tc>
          <w:tcPr>
            <w:tcW w:w="1969" w:type="dxa"/>
          </w:tcPr>
          <w:p w14:paraId="76FD4160" w14:textId="77777777" w:rsidR="00AD7037" w:rsidRPr="00BE78B0" w:rsidRDefault="00AD7037" w:rsidP="00AD7037">
            <w:pPr>
              <w:pStyle w:val="TAC"/>
            </w:pPr>
            <w:r w:rsidRPr="00BE78B0">
              <w:t>5</w:t>
            </w:r>
          </w:p>
        </w:tc>
      </w:tr>
      <w:tr w:rsidR="00AD7037" w:rsidRPr="00BE78B0" w:rsidDel="00FC0501" w14:paraId="155501F9" w14:textId="77777777" w:rsidTr="00AD7037">
        <w:trPr>
          <w:jc w:val="center"/>
        </w:trPr>
        <w:tc>
          <w:tcPr>
            <w:tcW w:w="649" w:type="dxa"/>
            <w:shd w:val="clear" w:color="auto" w:fill="auto"/>
          </w:tcPr>
          <w:p w14:paraId="69AC4F75" w14:textId="77777777" w:rsidR="00AD7037" w:rsidRPr="00BE78B0" w:rsidRDefault="00AD7037" w:rsidP="00AD7037">
            <w:pPr>
              <w:pStyle w:val="TAC"/>
            </w:pPr>
            <w:r w:rsidRPr="00BE78B0">
              <w:t>2</w:t>
            </w:r>
          </w:p>
        </w:tc>
        <w:tc>
          <w:tcPr>
            <w:tcW w:w="992" w:type="dxa"/>
          </w:tcPr>
          <w:p w14:paraId="12713737" w14:textId="77777777" w:rsidR="00AD7037" w:rsidRPr="00BE78B0" w:rsidRDefault="00AD7037" w:rsidP="00AD7037">
            <w:pPr>
              <w:pStyle w:val="TAC"/>
            </w:pPr>
            <w:r w:rsidRPr="00BE78B0">
              <w:t>0.25</w:t>
            </w:r>
          </w:p>
        </w:tc>
        <w:tc>
          <w:tcPr>
            <w:tcW w:w="1969" w:type="dxa"/>
            <w:shd w:val="clear" w:color="auto" w:fill="auto"/>
          </w:tcPr>
          <w:p w14:paraId="1C5FE830" w14:textId="77777777" w:rsidR="00AD7037" w:rsidRPr="00BE78B0" w:rsidRDefault="00AD7037" w:rsidP="00AD7037">
            <w:pPr>
              <w:pStyle w:val="TAC"/>
            </w:pPr>
            <w:r w:rsidRPr="00BE78B0">
              <w:t>3</w:t>
            </w:r>
          </w:p>
        </w:tc>
        <w:tc>
          <w:tcPr>
            <w:tcW w:w="1969" w:type="dxa"/>
          </w:tcPr>
          <w:p w14:paraId="265B3D8D" w14:textId="77777777" w:rsidR="00AD7037" w:rsidRPr="00BE78B0" w:rsidRDefault="00AD7037" w:rsidP="00AD7037">
            <w:pPr>
              <w:pStyle w:val="TAC"/>
            </w:pPr>
            <w:r w:rsidRPr="00BE78B0">
              <w:t>9</w:t>
            </w:r>
          </w:p>
        </w:tc>
      </w:tr>
      <w:tr w:rsidR="00AD7037" w:rsidRPr="00BE78B0" w:rsidDel="00FC0501" w14:paraId="6556012A" w14:textId="77777777" w:rsidTr="00AD7037">
        <w:trPr>
          <w:jc w:val="center"/>
        </w:trPr>
        <w:tc>
          <w:tcPr>
            <w:tcW w:w="649" w:type="dxa"/>
            <w:shd w:val="clear" w:color="auto" w:fill="auto"/>
          </w:tcPr>
          <w:p w14:paraId="79396653" w14:textId="77777777" w:rsidR="00AD7037" w:rsidRPr="00BE78B0" w:rsidRDefault="00AD7037" w:rsidP="00AD7037">
            <w:pPr>
              <w:pStyle w:val="TAC"/>
            </w:pPr>
            <w:r w:rsidRPr="00BE78B0">
              <w:t>3</w:t>
            </w:r>
          </w:p>
        </w:tc>
        <w:tc>
          <w:tcPr>
            <w:tcW w:w="992" w:type="dxa"/>
          </w:tcPr>
          <w:p w14:paraId="2A177930" w14:textId="77777777" w:rsidR="00AD7037" w:rsidRPr="00BE78B0" w:rsidRDefault="00AD7037" w:rsidP="00AD7037">
            <w:pPr>
              <w:pStyle w:val="TAC"/>
            </w:pPr>
            <w:r w:rsidRPr="00BE78B0">
              <w:t>0.125</w:t>
            </w:r>
          </w:p>
        </w:tc>
        <w:tc>
          <w:tcPr>
            <w:tcW w:w="1969" w:type="dxa"/>
            <w:shd w:val="clear" w:color="auto" w:fill="auto"/>
          </w:tcPr>
          <w:p w14:paraId="6190E3CD" w14:textId="77777777" w:rsidR="00AD7037" w:rsidRPr="00BE78B0" w:rsidRDefault="00AD7037" w:rsidP="00AD7037">
            <w:pPr>
              <w:pStyle w:val="TAC"/>
            </w:pPr>
            <w:r w:rsidRPr="00BE78B0">
              <w:t>6</w:t>
            </w:r>
          </w:p>
        </w:tc>
        <w:tc>
          <w:tcPr>
            <w:tcW w:w="1969" w:type="dxa"/>
          </w:tcPr>
          <w:p w14:paraId="0E80269D" w14:textId="77777777" w:rsidR="00AD7037" w:rsidRPr="00BE78B0" w:rsidRDefault="00AD7037" w:rsidP="00AD7037">
            <w:pPr>
              <w:pStyle w:val="TAC"/>
            </w:pPr>
            <w:r w:rsidRPr="00BE78B0">
              <w:t>18</w:t>
            </w:r>
          </w:p>
        </w:tc>
      </w:tr>
      <w:tr w:rsidR="00AD7037" w:rsidRPr="00BE78B0" w:rsidDel="00FC0501" w14:paraId="6C440A49" w14:textId="77777777" w:rsidTr="00AD7037">
        <w:trPr>
          <w:jc w:val="center"/>
        </w:trPr>
        <w:tc>
          <w:tcPr>
            <w:tcW w:w="5579" w:type="dxa"/>
            <w:gridSpan w:val="4"/>
            <w:shd w:val="clear" w:color="auto" w:fill="auto"/>
          </w:tcPr>
          <w:p w14:paraId="2F77A7F0" w14:textId="77777777" w:rsidR="00AD7037" w:rsidRPr="00BE78B0" w:rsidRDefault="00AD7037" w:rsidP="00AD7037">
            <w:pPr>
              <w:pStyle w:val="TAN"/>
            </w:pPr>
            <w:r w:rsidRPr="00BE78B0">
              <w:t>Note 1:</w:t>
            </w:r>
            <w:r w:rsidRPr="00BE78B0">
              <w:tab/>
              <w:t>Depends on UE capability.</w:t>
            </w:r>
          </w:p>
          <w:p w14:paraId="1C726972" w14:textId="77777777" w:rsidR="00AD7037" w:rsidRPr="00BE78B0" w:rsidRDefault="00AD7037" w:rsidP="00AD7037">
            <w:pPr>
              <w:pStyle w:val="TAN"/>
            </w:pPr>
            <w:r w:rsidRPr="00BE78B0">
              <w:t>Note 2:</w:t>
            </w:r>
            <w:r w:rsidRPr="00BE78B0">
              <w:tab/>
              <w:t>If the BWP switch involves changing of SCS, the BWP switch delay is determined by the larger one between the SCS before BWP switch and the SCS after BWP switch.</w:t>
            </w:r>
          </w:p>
        </w:tc>
      </w:tr>
    </w:tbl>
    <w:p w14:paraId="094B847D" w14:textId="77777777" w:rsidR="00AD7037" w:rsidRDefault="00AD7037" w:rsidP="00AD7037"/>
    <w:p w14:paraId="31266D87" w14:textId="20DCE2F0" w:rsidR="00AD7037" w:rsidRPr="007520E5" w:rsidRDefault="00AD7037" w:rsidP="00AD7037">
      <w:pPr>
        <w:rPr>
          <w:b/>
          <w:bCs/>
        </w:rPr>
      </w:pPr>
      <w:r w:rsidRPr="007520E5">
        <w:rPr>
          <w:b/>
          <w:bCs/>
        </w:rPr>
        <w:t xml:space="preserve">Proposal </w:t>
      </w:r>
      <w:r w:rsidR="00DE7BE2">
        <w:rPr>
          <w:b/>
          <w:bCs/>
        </w:rPr>
        <w:t>10</w:t>
      </w:r>
      <w:r w:rsidRPr="007520E5">
        <w:rPr>
          <w:b/>
          <w:bCs/>
        </w:rPr>
        <w:t xml:space="preserve">. In intra-frequency scenarios </w:t>
      </w:r>
      <w:r>
        <w:rPr>
          <w:b/>
          <w:bCs/>
        </w:rPr>
        <w:t xml:space="preserve">with source cell BWP/system BW greater than target cell BWP/system BW and containing it, the </w:t>
      </w:r>
      <w:r w:rsidRPr="007520E5">
        <w:rPr>
          <w:b/>
          <w:bCs/>
        </w:rPr>
        <w:t xml:space="preserve">interruption time in both DL and UL </w:t>
      </w:r>
      <w:r>
        <w:rPr>
          <w:b/>
          <w:bCs/>
        </w:rPr>
        <w:t xml:space="preserve">for a 1-Tx capable UE </w:t>
      </w:r>
      <w:r w:rsidRPr="007520E5">
        <w:rPr>
          <w:b/>
          <w:bCs/>
        </w:rPr>
        <w:t>to be</w:t>
      </w:r>
      <w:r>
        <w:rPr>
          <w:b/>
          <w:bCs/>
        </w:rPr>
        <w:t xml:space="preserve"> according to</w:t>
      </w:r>
      <w:r w:rsidRPr="007520E5">
        <w:rPr>
          <w:b/>
          <w:bCs/>
        </w:rPr>
        <w:t>:</w:t>
      </w:r>
    </w:p>
    <w:p w14:paraId="2A449DC6" w14:textId="77777777" w:rsidR="00AD7037" w:rsidRPr="00BA46FE" w:rsidRDefault="00AD7037" w:rsidP="00AD7037">
      <w:pPr>
        <w:pStyle w:val="ListParagraph"/>
        <w:numPr>
          <w:ilvl w:val="0"/>
          <w:numId w:val="46"/>
        </w:numPr>
        <w:rPr>
          <w:b/>
          <w:bCs/>
          <w:sz w:val="20"/>
          <w:szCs w:val="20"/>
        </w:rPr>
      </w:pPr>
      <w:r w:rsidRPr="00BA46FE">
        <w:rPr>
          <w:b/>
          <w:bCs/>
          <w:sz w:val="20"/>
          <w:szCs w:val="20"/>
        </w:rPr>
        <w:t>Table 8.2.4.2.1-1 of TS 38.133 for synchronous scenarios when UE receives the HO command and adds the target cell</w:t>
      </w:r>
    </w:p>
    <w:p w14:paraId="25658495" w14:textId="77777777" w:rsidR="00AD7037" w:rsidRDefault="00AD7037" w:rsidP="00AD7037">
      <w:pPr>
        <w:pStyle w:val="ListParagraph"/>
        <w:numPr>
          <w:ilvl w:val="0"/>
          <w:numId w:val="46"/>
        </w:numPr>
        <w:rPr>
          <w:b/>
          <w:bCs/>
          <w:sz w:val="20"/>
          <w:szCs w:val="20"/>
        </w:rPr>
      </w:pPr>
      <w:r>
        <w:rPr>
          <w:b/>
          <w:bCs/>
          <w:sz w:val="20"/>
          <w:szCs w:val="20"/>
        </w:rPr>
        <w:t xml:space="preserve">Table 8.6.2-1 of TS 38.133 for synchronous scenarios </w:t>
      </w:r>
      <w:r w:rsidRPr="007520E5">
        <w:rPr>
          <w:b/>
          <w:bCs/>
          <w:sz w:val="20"/>
          <w:szCs w:val="20"/>
        </w:rPr>
        <w:t>when UE completes the HO and releases the source cell</w:t>
      </w:r>
    </w:p>
    <w:p w14:paraId="429BFED4" w14:textId="77777777" w:rsidR="00AD7037" w:rsidRPr="007520E5" w:rsidRDefault="00AD7037" w:rsidP="00AD7037">
      <w:pPr>
        <w:pStyle w:val="ListParagraph"/>
        <w:numPr>
          <w:ilvl w:val="0"/>
          <w:numId w:val="46"/>
        </w:numPr>
        <w:rPr>
          <w:b/>
          <w:bCs/>
          <w:sz w:val="20"/>
          <w:szCs w:val="20"/>
        </w:rPr>
      </w:pPr>
      <w:r w:rsidRPr="00BA46FE">
        <w:rPr>
          <w:b/>
          <w:bCs/>
          <w:sz w:val="20"/>
          <w:szCs w:val="20"/>
        </w:rPr>
        <w:t xml:space="preserve">Table 8.2.4.2.1-1 of TS 38.133 </w:t>
      </w:r>
      <w:r>
        <w:rPr>
          <w:b/>
          <w:bCs/>
          <w:sz w:val="20"/>
          <w:szCs w:val="20"/>
        </w:rPr>
        <w:t>plus 1ms</w:t>
      </w:r>
      <w:r w:rsidRPr="007520E5">
        <w:rPr>
          <w:b/>
          <w:bCs/>
          <w:sz w:val="20"/>
          <w:szCs w:val="20"/>
        </w:rPr>
        <w:t xml:space="preserve"> </w:t>
      </w:r>
      <w:r>
        <w:rPr>
          <w:b/>
          <w:bCs/>
          <w:sz w:val="20"/>
          <w:szCs w:val="20"/>
        </w:rPr>
        <w:t xml:space="preserve">for asynchronous scenarios </w:t>
      </w:r>
      <w:r w:rsidRPr="007520E5">
        <w:rPr>
          <w:b/>
          <w:bCs/>
          <w:sz w:val="20"/>
          <w:szCs w:val="20"/>
        </w:rPr>
        <w:t>when UE receives the HO command and adds the target cell</w:t>
      </w:r>
    </w:p>
    <w:p w14:paraId="758BD56B" w14:textId="77777777" w:rsidR="00AD7037" w:rsidRPr="00D94D05" w:rsidRDefault="00AD7037" w:rsidP="00AD7037">
      <w:pPr>
        <w:pStyle w:val="ListParagraph"/>
        <w:numPr>
          <w:ilvl w:val="0"/>
          <w:numId w:val="46"/>
        </w:numPr>
        <w:rPr>
          <w:b/>
          <w:bCs/>
          <w:sz w:val="20"/>
          <w:szCs w:val="20"/>
        </w:rPr>
      </w:pPr>
      <w:r>
        <w:rPr>
          <w:b/>
          <w:bCs/>
          <w:sz w:val="20"/>
          <w:szCs w:val="20"/>
        </w:rPr>
        <w:t>Table 8.6.2-1 of TS 38.133 plus 1ms</w:t>
      </w:r>
      <w:r w:rsidRPr="007520E5">
        <w:rPr>
          <w:b/>
          <w:bCs/>
          <w:sz w:val="20"/>
          <w:szCs w:val="20"/>
        </w:rPr>
        <w:t xml:space="preserve"> </w:t>
      </w:r>
      <w:r>
        <w:rPr>
          <w:b/>
          <w:bCs/>
          <w:sz w:val="20"/>
          <w:szCs w:val="20"/>
        </w:rPr>
        <w:t xml:space="preserve">for asynchronous scenarios </w:t>
      </w:r>
      <w:r w:rsidRPr="007520E5">
        <w:rPr>
          <w:b/>
          <w:bCs/>
          <w:sz w:val="20"/>
          <w:szCs w:val="20"/>
        </w:rPr>
        <w:t>when UE completes the HO and releases the source cell</w:t>
      </w:r>
    </w:p>
    <w:p w14:paraId="108751E0" w14:textId="77777777" w:rsidR="00AD7037" w:rsidRDefault="00AD7037" w:rsidP="00AD7037">
      <w:pPr>
        <w:rPr>
          <w:b/>
          <w:bCs/>
        </w:rPr>
      </w:pPr>
    </w:p>
    <w:p w14:paraId="325CB659" w14:textId="77777777" w:rsidR="00AD7037" w:rsidRDefault="00AD7037" w:rsidP="00AD7037">
      <w:r>
        <w:t xml:space="preserve">Similarly, when source cell BWP/system BW is smaller than target cell BWP/system BW and contained by it, UE needs to retune its RF after reception of HO command to add the source cell. It is proposed to add and additional interruption to the window at source cell release to account for RF retuning in accord to BWP switching delay. </w:t>
      </w:r>
    </w:p>
    <w:p w14:paraId="29CC421C" w14:textId="3506B789" w:rsidR="00AD7037" w:rsidRPr="007520E5" w:rsidRDefault="00AD7037" w:rsidP="00AD7037">
      <w:pPr>
        <w:rPr>
          <w:b/>
          <w:bCs/>
        </w:rPr>
      </w:pPr>
      <w:r w:rsidRPr="007520E5">
        <w:rPr>
          <w:b/>
          <w:bCs/>
        </w:rPr>
        <w:t xml:space="preserve">Proposal </w:t>
      </w:r>
      <w:r w:rsidR="00A227CF">
        <w:rPr>
          <w:b/>
          <w:bCs/>
        </w:rPr>
        <w:t>1</w:t>
      </w:r>
      <w:r w:rsidR="00DE7BE2">
        <w:rPr>
          <w:b/>
          <w:bCs/>
        </w:rPr>
        <w:t>1</w:t>
      </w:r>
      <w:r w:rsidRPr="007520E5">
        <w:rPr>
          <w:b/>
          <w:bCs/>
        </w:rPr>
        <w:t xml:space="preserve">. In intra-frequency scenarios </w:t>
      </w:r>
      <w:r>
        <w:rPr>
          <w:b/>
          <w:bCs/>
        </w:rPr>
        <w:t xml:space="preserve">with source cell BWP/system BW smaller than target cell BWP/system BW and contained by it, the </w:t>
      </w:r>
      <w:r w:rsidRPr="007520E5">
        <w:rPr>
          <w:b/>
          <w:bCs/>
        </w:rPr>
        <w:t xml:space="preserve">interruption time in both DL and UL </w:t>
      </w:r>
      <w:r>
        <w:rPr>
          <w:b/>
          <w:bCs/>
        </w:rPr>
        <w:t xml:space="preserve">for a 1-Tx capable UE </w:t>
      </w:r>
      <w:r w:rsidRPr="007520E5">
        <w:rPr>
          <w:b/>
          <w:bCs/>
        </w:rPr>
        <w:t>to be:</w:t>
      </w:r>
    </w:p>
    <w:p w14:paraId="1C10F47B" w14:textId="77777777" w:rsidR="00AD7037" w:rsidRPr="007520E5" w:rsidRDefault="00AD7037" w:rsidP="00AD7037">
      <w:pPr>
        <w:pStyle w:val="ListParagraph"/>
        <w:numPr>
          <w:ilvl w:val="0"/>
          <w:numId w:val="46"/>
        </w:numPr>
        <w:rPr>
          <w:b/>
          <w:bCs/>
          <w:sz w:val="20"/>
          <w:szCs w:val="20"/>
        </w:rPr>
      </w:pPr>
      <w:r>
        <w:rPr>
          <w:b/>
          <w:bCs/>
          <w:sz w:val="20"/>
          <w:szCs w:val="20"/>
        </w:rPr>
        <w:t xml:space="preserve">Table 8.6.2-1 of TS 38.133 for synchronous scenarios </w:t>
      </w:r>
      <w:r w:rsidRPr="007520E5">
        <w:rPr>
          <w:b/>
          <w:bCs/>
          <w:sz w:val="20"/>
          <w:szCs w:val="20"/>
        </w:rPr>
        <w:t>when UE receives the HO command and adds the target cell</w:t>
      </w:r>
    </w:p>
    <w:p w14:paraId="517FD106" w14:textId="77777777" w:rsidR="00AD7037" w:rsidRDefault="00AD7037" w:rsidP="00AD7037">
      <w:pPr>
        <w:pStyle w:val="ListParagraph"/>
        <w:numPr>
          <w:ilvl w:val="0"/>
          <w:numId w:val="46"/>
        </w:numPr>
        <w:rPr>
          <w:b/>
          <w:bCs/>
          <w:sz w:val="20"/>
          <w:szCs w:val="20"/>
        </w:rPr>
      </w:pPr>
      <w:r w:rsidRPr="00BA46FE">
        <w:rPr>
          <w:b/>
          <w:bCs/>
          <w:sz w:val="20"/>
          <w:szCs w:val="20"/>
        </w:rPr>
        <w:t xml:space="preserve">Table 8.2.4.2.1-1 of TS 38.133 </w:t>
      </w:r>
      <w:r>
        <w:rPr>
          <w:b/>
          <w:bCs/>
          <w:sz w:val="20"/>
          <w:szCs w:val="20"/>
        </w:rPr>
        <w:t xml:space="preserve">for synchronous scenarios </w:t>
      </w:r>
      <w:r w:rsidRPr="007520E5">
        <w:rPr>
          <w:b/>
          <w:bCs/>
          <w:sz w:val="20"/>
          <w:szCs w:val="20"/>
        </w:rPr>
        <w:t>when UE completes the HO and releases the source cell</w:t>
      </w:r>
    </w:p>
    <w:p w14:paraId="2F82B1D1" w14:textId="77777777" w:rsidR="00AD7037" w:rsidRPr="007520E5" w:rsidRDefault="00AD7037" w:rsidP="00AD7037">
      <w:pPr>
        <w:pStyle w:val="ListParagraph"/>
        <w:numPr>
          <w:ilvl w:val="0"/>
          <w:numId w:val="46"/>
        </w:numPr>
        <w:rPr>
          <w:b/>
          <w:bCs/>
          <w:sz w:val="20"/>
          <w:szCs w:val="20"/>
        </w:rPr>
      </w:pPr>
      <w:r>
        <w:rPr>
          <w:b/>
          <w:bCs/>
          <w:sz w:val="20"/>
          <w:szCs w:val="20"/>
        </w:rPr>
        <w:t>Table 8.6.2-1 of TS 38.133 plus 1ms</w:t>
      </w:r>
      <w:r w:rsidRPr="007520E5">
        <w:rPr>
          <w:b/>
          <w:bCs/>
          <w:sz w:val="20"/>
          <w:szCs w:val="20"/>
        </w:rPr>
        <w:t xml:space="preserve"> </w:t>
      </w:r>
      <w:r>
        <w:rPr>
          <w:b/>
          <w:bCs/>
          <w:sz w:val="20"/>
          <w:szCs w:val="20"/>
        </w:rPr>
        <w:t xml:space="preserve">for asynchronous scenarios </w:t>
      </w:r>
      <w:r w:rsidRPr="007520E5">
        <w:rPr>
          <w:b/>
          <w:bCs/>
          <w:sz w:val="20"/>
          <w:szCs w:val="20"/>
        </w:rPr>
        <w:t>when UE receives the HO command and adds the target cell</w:t>
      </w:r>
    </w:p>
    <w:p w14:paraId="43EC6236" w14:textId="77777777" w:rsidR="00AD7037" w:rsidRPr="00D94D05" w:rsidRDefault="00AD7037" w:rsidP="00AD7037">
      <w:pPr>
        <w:pStyle w:val="ListParagraph"/>
        <w:numPr>
          <w:ilvl w:val="0"/>
          <w:numId w:val="46"/>
        </w:numPr>
        <w:rPr>
          <w:b/>
          <w:bCs/>
          <w:sz w:val="20"/>
          <w:szCs w:val="20"/>
        </w:rPr>
      </w:pPr>
      <w:r w:rsidRPr="00BA46FE">
        <w:rPr>
          <w:b/>
          <w:bCs/>
          <w:sz w:val="20"/>
          <w:szCs w:val="20"/>
        </w:rPr>
        <w:t xml:space="preserve">Table 8.2.4.2.1-1 of TS 38.133 </w:t>
      </w:r>
      <w:r>
        <w:rPr>
          <w:b/>
          <w:bCs/>
          <w:sz w:val="20"/>
          <w:szCs w:val="20"/>
        </w:rPr>
        <w:t>plus 1ms</w:t>
      </w:r>
      <w:r w:rsidRPr="007520E5">
        <w:rPr>
          <w:b/>
          <w:bCs/>
          <w:sz w:val="20"/>
          <w:szCs w:val="20"/>
        </w:rPr>
        <w:t xml:space="preserve"> </w:t>
      </w:r>
      <w:r>
        <w:rPr>
          <w:b/>
          <w:bCs/>
          <w:sz w:val="20"/>
          <w:szCs w:val="20"/>
        </w:rPr>
        <w:t xml:space="preserve">for asynchronous scenarios </w:t>
      </w:r>
      <w:r w:rsidRPr="007520E5">
        <w:rPr>
          <w:b/>
          <w:bCs/>
          <w:sz w:val="20"/>
          <w:szCs w:val="20"/>
        </w:rPr>
        <w:t>when UE completes the HO and releases the source cell</w:t>
      </w:r>
    </w:p>
    <w:p w14:paraId="496A3CAE" w14:textId="77777777" w:rsidR="00AD7037" w:rsidRPr="00A07530" w:rsidRDefault="00AD7037" w:rsidP="00A07530">
      <w:pPr>
        <w:rPr>
          <w:lang w:val="en-US"/>
        </w:rPr>
      </w:pPr>
    </w:p>
    <w:p w14:paraId="05109B46" w14:textId="6108C407" w:rsidR="00F2107A" w:rsidRDefault="0032488E" w:rsidP="005D6C7D">
      <w:pPr>
        <w:pStyle w:val="Heading1"/>
        <w:rPr>
          <w:lang w:val="en-US"/>
        </w:rPr>
      </w:pPr>
      <w:r>
        <w:rPr>
          <w:lang w:val="en-US"/>
        </w:rPr>
        <w:t>Con</w:t>
      </w:r>
      <w:r w:rsidR="00F2107A">
        <w:rPr>
          <w:lang w:val="en-US"/>
        </w:rPr>
        <w:t>clusions</w:t>
      </w:r>
    </w:p>
    <w:p w14:paraId="28553DC0" w14:textId="6113EA3A" w:rsidR="00C934DA" w:rsidRPr="00C934DA" w:rsidRDefault="00C934DA" w:rsidP="00C934DA">
      <w:pPr>
        <w:rPr>
          <w:i/>
          <w:iCs/>
          <w:lang w:val="en-US"/>
        </w:rPr>
      </w:pPr>
      <w:r w:rsidRPr="00C934DA">
        <w:rPr>
          <w:i/>
          <w:iCs/>
          <w:lang w:val="en-US"/>
        </w:rPr>
        <w:t>On simultaneous connectivity with source/target cells with different numerology:</w:t>
      </w:r>
    </w:p>
    <w:p w14:paraId="2CAAB3FB" w14:textId="77777777" w:rsidR="00C934DA" w:rsidRPr="00D27C78" w:rsidRDefault="00C934DA" w:rsidP="00C934DA">
      <w:pPr>
        <w:rPr>
          <w:b/>
          <w:bCs/>
          <w:lang w:val="en-US"/>
        </w:rPr>
      </w:pPr>
      <w:r w:rsidRPr="00D27C78">
        <w:rPr>
          <w:b/>
          <w:bCs/>
          <w:lang w:val="en-US"/>
        </w:rPr>
        <w:t xml:space="preserve">Observation 1.  One numerology (SCS) delivers optimal performance per band or multiple bands. Hence, within intra-frequency or intra-band inter-frequency framework, HO between source and target cells with different SCS is not a practical situation to be considered. RAN4 should not expend resources on defining requirements for such corner cases. </w:t>
      </w:r>
    </w:p>
    <w:p w14:paraId="2BC7709D" w14:textId="540DA436" w:rsidR="00C934DA" w:rsidRDefault="00C934DA" w:rsidP="00C934DA">
      <w:pPr>
        <w:rPr>
          <w:b/>
          <w:bCs/>
          <w:lang w:val="en-US"/>
        </w:rPr>
      </w:pPr>
      <w:r w:rsidRPr="00B75496">
        <w:rPr>
          <w:b/>
          <w:bCs/>
          <w:lang w:val="en-US"/>
        </w:rPr>
        <w:t>Observation 2. It should be theoretically possible for a UE with DLCA capability (in synchronous case) or DC capability (in asynchronous) case to support simultaneous Rx with different numerology between source and target cells in intra-frequency or intra-band handovers. Supporting simultaneous Tx with different numerology between source and target cells in these scenarios requires at least two separate Tx chains and its feasibility is FFS as most common implementations do not consider separate Tx chains for intra-frequency or intra-band scenarios so far.</w:t>
      </w:r>
    </w:p>
    <w:p w14:paraId="2A619019" w14:textId="00A0CCA5" w:rsidR="00C934DA" w:rsidRPr="00C934DA" w:rsidRDefault="00C934DA" w:rsidP="00C934DA">
      <w:pPr>
        <w:rPr>
          <w:i/>
          <w:iCs/>
          <w:lang w:val="en-US"/>
        </w:rPr>
      </w:pPr>
      <w:r w:rsidRPr="00C934DA">
        <w:rPr>
          <w:i/>
          <w:iCs/>
          <w:lang w:val="en-US"/>
        </w:rPr>
        <w:lastRenderedPageBreak/>
        <w:t>On eMBB HO delay requirements:</w:t>
      </w:r>
    </w:p>
    <w:p w14:paraId="3A4EDB2F" w14:textId="77777777" w:rsidR="00C934DA" w:rsidRPr="002E6ABF" w:rsidRDefault="00C934DA" w:rsidP="00C934DA">
      <w:pPr>
        <w:rPr>
          <w:b/>
          <w:bCs/>
        </w:rPr>
      </w:pPr>
      <w:r w:rsidRPr="002E6ABF">
        <w:rPr>
          <w:b/>
          <w:bCs/>
        </w:rPr>
        <w:t>Observation 3. In enhanced MBB HO, the end point of delay can no longer be PRACH as it does not show that UE has established simultaneous connectivity (at least in DL) with both source and target cells. MSG3 transmission TTI, however, is a suitable candidate for end point of delay as UE is required to monitor and receive MSG2, random access response (RAR), on target cell while continuing to receive PDSCH on the source cell.</w:t>
      </w:r>
    </w:p>
    <w:p w14:paraId="49FD2821" w14:textId="77777777" w:rsidR="00C934DA" w:rsidRPr="00925C27" w:rsidRDefault="00C934DA" w:rsidP="00C934DA">
      <w:pPr>
        <w:rPr>
          <w:b/>
          <w:bCs/>
        </w:rPr>
      </w:pPr>
      <w:r w:rsidRPr="00925C27">
        <w:rPr>
          <w:b/>
          <w:bCs/>
        </w:rPr>
        <w:t xml:space="preserve">Proposal 1. RAN4 to adopt the end point of eMBB HO delay as the start of first PUSCH transmission scheduled by RAR.  </w:t>
      </w:r>
    </w:p>
    <w:p w14:paraId="5525FFDF" w14:textId="77777777" w:rsidR="00C934DA" w:rsidRPr="00A07530" w:rsidRDefault="00C934DA" w:rsidP="00C934DA">
      <w:pPr>
        <w:rPr>
          <w:b/>
          <w:bCs/>
        </w:rPr>
      </w:pPr>
      <w:r w:rsidRPr="00A07530">
        <w:rPr>
          <w:b/>
          <w:bCs/>
        </w:rPr>
        <w:t xml:space="preserve">Proposal 2. The eMBB HO delay to have two extra terms </w:t>
      </w:r>
      <m:oMath>
        <m:sSub>
          <m:sSubPr>
            <m:ctrlPr>
              <w:rPr>
                <w:rFonts w:ascii="Cambria Math" w:hAnsi="Cambria Math"/>
                <w:b/>
                <w:bCs/>
                <w:i/>
              </w:rPr>
            </m:ctrlPr>
          </m:sSubPr>
          <m:e>
            <m:r>
              <m:rPr>
                <m:sty m:val="bi"/>
              </m:rPr>
              <w:rPr>
                <w:rFonts w:ascii="Cambria Math" w:hAnsi="Cambria Math"/>
              </w:rPr>
              <m:t>T</m:t>
            </m:r>
          </m:e>
          <m:sub>
            <m:r>
              <m:rPr>
                <m:sty m:val="bi"/>
              </m:rPr>
              <w:rPr>
                <w:rFonts w:ascii="Cambria Math" w:hAnsi="Cambria Math"/>
              </w:rPr>
              <m:t>MSG</m:t>
            </m:r>
            <m:r>
              <m:rPr>
                <m:sty m:val="bi"/>
              </m:rPr>
              <w:rPr>
                <w:rFonts w:ascii="Cambria Math" w:hAnsi="Cambria Math"/>
              </w:rPr>
              <m:t>2</m:t>
            </m:r>
          </m:sub>
        </m:sSub>
      </m:oMath>
      <w:r w:rsidRPr="00A07530">
        <w:rPr>
          <w:b/>
          <w:bCs/>
        </w:rPr>
        <w:t xml:space="preserve"> and </w:t>
      </w:r>
      <m:oMath>
        <m:sSub>
          <m:sSubPr>
            <m:ctrlPr>
              <w:rPr>
                <w:rFonts w:ascii="Cambria Math" w:hAnsi="Cambria Math"/>
                <w:b/>
                <w:bCs/>
                <w:i/>
              </w:rPr>
            </m:ctrlPr>
          </m:sSubPr>
          <m:e>
            <m:r>
              <m:rPr>
                <m:sty m:val="bi"/>
              </m:rPr>
              <w:rPr>
                <w:rFonts w:ascii="Cambria Math" w:hAnsi="Cambria Math"/>
              </w:rPr>
              <m:t>T</m:t>
            </m:r>
          </m:e>
          <m:sub>
            <m:r>
              <m:rPr>
                <m:sty m:val="bi"/>
              </m:rPr>
              <w:rPr>
                <w:rFonts w:ascii="Cambria Math" w:hAnsi="Cambria Math"/>
              </w:rPr>
              <m:t>MSG</m:t>
            </m:r>
            <m:r>
              <m:rPr>
                <m:sty m:val="bi"/>
              </m:rPr>
              <w:rPr>
                <w:rFonts w:ascii="Cambria Math" w:hAnsi="Cambria Math"/>
              </w:rPr>
              <m:t>3</m:t>
            </m:r>
          </m:sub>
        </m:sSub>
      </m:oMath>
      <w:r w:rsidRPr="00A07530">
        <w:rPr>
          <w:b/>
          <w:bCs/>
        </w:rPr>
        <w:t xml:space="preserve"> compared to legacy HO to account for end point being extended to the start of first PUSCH transmission scheduled by RAR: </w:t>
      </w:r>
    </w:p>
    <w:p w14:paraId="2DD5EC46" w14:textId="77777777" w:rsidR="00C934DA" w:rsidRPr="00A07530" w:rsidRDefault="00C934DA" w:rsidP="00C934DA">
      <w:pPr>
        <w:pStyle w:val="ListParagraph"/>
        <w:numPr>
          <w:ilvl w:val="0"/>
          <w:numId w:val="40"/>
        </w:numPr>
        <w:rPr>
          <w:b/>
          <w:bCs/>
          <w:sz w:val="20"/>
          <w:szCs w:val="20"/>
        </w:rPr>
      </w:pPr>
      <w:r w:rsidRPr="00A07530">
        <w:rPr>
          <w:b/>
          <w:bCs/>
          <w:sz w:val="20"/>
          <w:szCs w:val="20"/>
        </w:rPr>
        <w:t>The time from PRACH to MSG2 (T</w:t>
      </w:r>
      <w:r w:rsidRPr="00A07530">
        <w:rPr>
          <w:b/>
          <w:bCs/>
          <w:sz w:val="20"/>
          <w:szCs w:val="20"/>
          <w:vertAlign w:val="subscript"/>
        </w:rPr>
        <w:t>MSG2</w:t>
      </w:r>
      <w:r w:rsidRPr="00A07530">
        <w:rPr>
          <w:b/>
          <w:bCs/>
          <w:sz w:val="20"/>
          <w:szCs w:val="20"/>
        </w:rPr>
        <w:t>) can be formulated as:</w:t>
      </w:r>
    </w:p>
    <w:p w14:paraId="02D6003E" w14:textId="77777777" w:rsidR="00C934DA" w:rsidRPr="00A07530" w:rsidRDefault="005F0875" w:rsidP="00C934DA">
      <w:pPr>
        <w:rPr>
          <w:b/>
          <w:bCs/>
        </w:rPr>
      </w:pPr>
      <m:oMathPara>
        <m:oMath>
          <m:sSub>
            <m:sSubPr>
              <m:ctrlPr>
                <w:rPr>
                  <w:rFonts w:ascii="Cambria Math" w:hAnsi="Cambria Math"/>
                  <w:b/>
                  <w:bCs/>
                  <w:i/>
                </w:rPr>
              </m:ctrlPr>
            </m:sSubPr>
            <m:e>
              <m:r>
                <m:rPr>
                  <m:sty m:val="bi"/>
                </m:rPr>
                <w:rPr>
                  <w:rFonts w:ascii="Cambria Math" w:hAnsi="Cambria Math"/>
                </w:rPr>
                <m:t>T</m:t>
              </m:r>
            </m:e>
            <m:sub>
              <m:r>
                <m:rPr>
                  <m:sty m:val="bi"/>
                </m:rPr>
                <w:rPr>
                  <w:rFonts w:ascii="Cambria Math" w:hAnsi="Cambria Math"/>
                </w:rPr>
                <m:t>MSG</m:t>
              </m:r>
              <m:r>
                <m:rPr>
                  <m:sty m:val="bi"/>
                </m:rPr>
                <w:rPr>
                  <w:rFonts w:ascii="Cambria Math" w:hAnsi="Cambria Math"/>
                </w:rPr>
                <m:t>2</m:t>
              </m:r>
            </m:sub>
          </m:sSub>
          <m:r>
            <m:rPr>
              <m:sty m:val="bi"/>
            </m:rPr>
            <w:rPr>
              <w:rFonts w:ascii="Cambria Math" w:hAnsi="Cambria Math"/>
            </w:rPr>
            <m:t>=n</m:t>
          </m:r>
          <m:sSub>
            <m:sSubPr>
              <m:ctrlPr>
                <w:rPr>
                  <w:rFonts w:ascii="Cambria Math" w:hAnsi="Cambria Math"/>
                  <w:b/>
                  <w:bCs/>
                  <w:i/>
                </w:rPr>
              </m:ctrlPr>
            </m:sSubPr>
            <m:e>
              <m:r>
                <m:rPr>
                  <m:sty m:val="bi"/>
                </m:rPr>
                <w:rPr>
                  <w:rFonts w:ascii="Cambria Math" w:hAnsi="Cambria Math"/>
                </w:rPr>
                <m:t>L</m:t>
              </m:r>
            </m:e>
            <m:sub>
              <m:r>
                <m:rPr>
                  <m:sty m:val="bi"/>
                </m:rPr>
                <w:rPr>
                  <w:rFonts w:ascii="Cambria Math" w:hAnsi="Cambria Math"/>
                </w:rPr>
                <m:t>PRACH</m:t>
              </m:r>
            </m:sub>
          </m:sSub>
          <m:r>
            <m:rPr>
              <m:sty m:val="bi"/>
            </m:rPr>
            <w:rPr>
              <w:rFonts w:ascii="Cambria Math" w:hAnsi="Cambria Math"/>
            </w:rPr>
            <m:t>+</m:t>
          </m:r>
          <m:d>
            <m:dPr>
              <m:ctrlPr>
                <w:rPr>
                  <w:rFonts w:ascii="Cambria Math" w:hAnsi="Cambria Math"/>
                  <w:b/>
                  <w:bCs/>
                  <w:i/>
                </w:rPr>
              </m:ctrlPr>
            </m:dPr>
            <m:e>
              <m:r>
                <m:rPr>
                  <m:sty m:val="bi"/>
                </m:rPr>
                <w:rPr>
                  <w:rFonts w:ascii="Cambria Math" w:hAnsi="Cambria Math"/>
                </w:rPr>
                <m:t>n-1</m:t>
              </m:r>
            </m:e>
          </m:d>
          <m:sSub>
            <m:sSubPr>
              <m:ctrlPr>
                <w:rPr>
                  <w:rFonts w:ascii="Cambria Math" w:hAnsi="Cambria Math"/>
                  <w:b/>
                  <w:bCs/>
                  <w:i/>
                </w:rPr>
              </m:ctrlPr>
            </m:sSubPr>
            <m:e>
              <m:r>
                <m:rPr>
                  <m:sty m:val="bi"/>
                </m:rPr>
                <w:rPr>
                  <w:rFonts w:ascii="Cambria Math" w:hAnsi="Cambria Math"/>
                </w:rPr>
                <m:t>T</m:t>
              </m:r>
            </m:e>
            <m:sub>
              <m:r>
                <m:rPr>
                  <m:sty m:val="bi"/>
                </m:rPr>
                <w:rPr>
                  <w:rFonts w:ascii="Cambria Math" w:hAnsi="Cambria Math"/>
                </w:rPr>
                <m:t>IU</m:t>
              </m:r>
            </m:sub>
          </m:sSub>
          <m:r>
            <m:rPr>
              <m:sty m:val="bi"/>
            </m:rPr>
            <w:rPr>
              <w:rFonts w:ascii="Cambria Math" w:hAnsi="Cambria Math"/>
            </w:rPr>
            <m:t>+n</m:t>
          </m:r>
          <m:sSub>
            <m:sSubPr>
              <m:ctrlPr>
                <w:rPr>
                  <w:rFonts w:ascii="Cambria Math" w:hAnsi="Cambria Math"/>
                  <w:b/>
                  <w:bCs/>
                  <w:i/>
                </w:rPr>
              </m:ctrlPr>
            </m:sSubPr>
            <m:e>
              <m:r>
                <m:rPr>
                  <m:sty m:val="bi"/>
                </m:rPr>
                <w:rPr>
                  <w:rFonts w:ascii="Cambria Math" w:hAnsi="Cambria Math"/>
                </w:rPr>
                <m:t>T</m:t>
              </m:r>
            </m:e>
            <m:sub>
              <m:r>
                <m:rPr>
                  <m:sty m:val="bi"/>
                </m:rPr>
                <w:rPr>
                  <w:rFonts w:ascii="Cambria Math" w:hAnsi="Cambria Math"/>
                </w:rPr>
                <m:t>RAR</m:t>
              </m:r>
            </m:sub>
          </m:sSub>
          <m:r>
            <m:rPr>
              <m:sty m:val="bi"/>
            </m:rPr>
            <w:rPr>
              <w:rFonts w:ascii="Cambria Math" w:hAnsi="Cambria Math"/>
            </w:rPr>
            <m:t>+</m:t>
          </m:r>
          <m:d>
            <m:dPr>
              <m:ctrlPr>
                <w:rPr>
                  <w:rFonts w:ascii="Cambria Math" w:hAnsi="Cambria Math"/>
                  <w:b/>
                  <w:bCs/>
                  <w:i/>
                </w:rPr>
              </m:ctrlPr>
            </m:dPr>
            <m:e>
              <m:r>
                <m:rPr>
                  <m:sty m:val="bi"/>
                </m:rPr>
                <w:rPr>
                  <w:rFonts w:ascii="Cambria Math" w:hAnsi="Cambria Math"/>
                </w:rPr>
                <m:t>n-1</m:t>
              </m:r>
            </m:e>
          </m:d>
          <m:sSub>
            <m:sSubPr>
              <m:ctrlPr>
                <w:rPr>
                  <w:rFonts w:ascii="Cambria Math" w:hAnsi="Cambria Math"/>
                  <w:b/>
                  <w:bCs/>
                  <w:i/>
                </w:rPr>
              </m:ctrlPr>
            </m:sSubPr>
            <m:e>
              <m:r>
                <m:rPr>
                  <m:sty m:val="bi"/>
                </m:rPr>
                <w:rPr>
                  <w:rFonts w:ascii="Cambria Math" w:hAnsi="Cambria Math"/>
                </w:rPr>
                <m:t>T</m:t>
              </m:r>
            </m:e>
            <m:sub>
              <m:r>
                <m:rPr>
                  <m:sty m:val="bi"/>
                </m:rPr>
                <w:rPr>
                  <w:rFonts w:ascii="Cambria Math" w:hAnsi="Cambria Math"/>
                </w:rPr>
                <m:t>GAP</m:t>
              </m:r>
            </m:sub>
          </m:sSub>
        </m:oMath>
      </m:oMathPara>
    </w:p>
    <w:p w14:paraId="66D3F096" w14:textId="77777777" w:rsidR="00C934DA" w:rsidRPr="00A07530" w:rsidRDefault="00C934DA" w:rsidP="00C934DA">
      <w:pPr>
        <w:rPr>
          <w:b/>
          <w:bCs/>
        </w:rPr>
      </w:pPr>
      <w:r w:rsidRPr="00A07530">
        <w:rPr>
          <w:b/>
          <w:bCs/>
        </w:rPr>
        <w:t xml:space="preserve">Where </w:t>
      </w:r>
      <m:oMath>
        <m:r>
          <m:rPr>
            <m:sty m:val="bi"/>
          </m:rPr>
          <w:rPr>
            <w:rFonts w:ascii="Cambria Math" w:hAnsi="Cambria Math"/>
          </w:rPr>
          <m:t>n</m:t>
        </m:r>
      </m:oMath>
      <w:r w:rsidRPr="00A07530">
        <w:rPr>
          <w:b/>
          <w:bCs/>
        </w:rPr>
        <w:t xml:space="preserve"> is the number of RACH attempts, </w:t>
      </w:r>
      <m:oMath>
        <m:sSub>
          <m:sSubPr>
            <m:ctrlPr>
              <w:rPr>
                <w:rFonts w:ascii="Cambria Math" w:hAnsi="Cambria Math"/>
                <w:b/>
                <w:bCs/>
                <w:i/>
              </w:rPr>
            </m:ctrlPr>
          </m:sSubPr>
          <m:e>
            <m:r>
              <m:rPr>
                <m:sty m:val="bi"/>
              </m:rPr>
              <w:rPr>
                <w:rFonts w:ascii="Cambria Math" w:hAnsi="Cambria Math"/>
              </w:rPr>
              <m:t>L</m:t>
            </m:r>
          </m:e>
          <m:sub>
            <m:r>
              <m:rPr>
                <m:sty m:val="bi"/>
              </m:rPr>
              <w:rPr>
                <w:rFonts w:ascii="Cambria Math" w:hAnsi="Cambria Math"/>
              </w:rPr>
              <m:t>PRACH</m:t>
            </m:r>
          </m:sub>
        </m:sSub>
      </m:oMath>
      <w:r w:rsidRPr="00A07530">
        <w:rPr>
          <w:b/>
          <w:bCs/>
        </w:rPr>
        <w:t xml:space="preserve"> is the duration of each RACH attempt, </w:t>
      </w:r>
      <m:oMath>
        <m:sSub>
          <m:sSubPr>
            <m:ctrlPr>
              <w:rPr>
                <w:rFonts w:ascii="Cambria Math" w:hAnsi="Cambria Math"/>
                <w:b/>
                <w:bCs/>
                <w:i/>
              </w:rPr>
            </m:ctrlPr>
          </m:sSubPr>
          <m:e>
            <m:r>
              <m:rPr>
                <m:sty m:val="bi"/>
              </m:rPr>
              <w:rPr>
                <w:rFonts w:ascii="Cambria Math" w:hAnsi="Cambria Math"/>
              </w:rPr>
              <m:t>T</m:t>
            </m:r>
          </m:e>
          <m:sub>
            <m:r>
              <m:rPr>
                <m:sty m:val="bi"/>
              </m:rPr>
              <w:rPr>
                <w:rFonts w:ascii="Cambria Math" w:hAnsi="Cambria Math"/>
              </w:rPr>
              <m:t>RAR</m:t>
            </m:r>
          </m:sub>
        </m:sSub>
      </m:oMath>
      <w:r w:rsidRPr="00A07530">
        <w:rPr>
          <w:b/>
          <w:bCs/>
        </w:rPr>
        <w:t xml:space="preserve"> is the </w:t>
      </w:r>
      <w:r w:rsidRPr="00A07530">
        <w:rPr>
          <w:b/>
          <w:bCs/>
          <w:i/>
          <w:iCs/>
        </w:rPr>
        <w:t xml:space="preserve">ra-ResponseWindow </w:t>
      </w:r>
      <w:r w:rsidRPr="00A07530">
        <w:rPr>
          <w:b/>
          <w:bCs/>
        </w:rPr>
        <w:t>which is part of RACH configuration</w:t>
      </w:r>
      <w:r w:rsidRPr="00A07530">
        <w:rPr>
          <w:b/>
          <w:bCs/>
          <w:i/>
          <w:iCs/>
        </w:rPr>
        <w:t xml:space="preserve"> </w:t>
      </w:r>
      <w:r w:rsidRPr="00A07530">
        <w:rPr>
          <w:b/>
          <w:bCs/>
        </w:rPr>
        <w:t xml:space="preserve">and </w:t>
      </w:r>
      <m:oMath>
        <m:sSub>
          <m:sSubPr>
            <m:ctrlPr>
              <w:rPr>
                <w:rFonts w:ascii="Cambria Math" w:hAnsi="Cambria Math"/>
                <w:b/>
                <w:bCs/>
                <w:i/>
              </w:rPr>
            </m:ctrlPr>
          </m:sSubPr>
          <m:e>
            <m:r>
              <m:rPr>
                <m:sty m:val="bi"/>
              </m:rPr>
              <w:rPr>
                <w:rFonts w:ascii="Cambria Math" w:hAnsi="Cambria Math"/>
              </w:rPr>
              <m:t>T</m:t>
            </m:r>
          </m:e>
          <m:sub>
            <m:r>
              <m:rPr>
                <m:sty m:val="bi"/>
              </m:rPr>
              <w:rPr>
                <w:rFonts w:ascii="Cambria Math" w:hAnsi="Cambria Math"/>
              </w:rPr>
              <m:t>GAP</m:t>
            </m:r>
          </m:sub>
        </m:sSub>
      </m:oMath>
      <w:r w:rsidRPr="00A07530">
        <w:rPr>
          <w:b/>
          <w:bCs/>
        </w:rPr>
        <w:t xml:space="preserve"> is the gap between expiration of RAR window and the next PRACH transmission. This gap is defined in TS 38.213 clause 8.2 as: </w:t>
      </w:r>
    </w:p>
    <w:p w14:paraId="6BC18ED2" w14:textId="77777777" w:rsidR="00C934DA" w:rsidRPr="00A07530" w:rsidRDefault="005F0875" w:rsidP="00C934DA">
      <w:pPr>
        <w:rPr>
          <w:b/>
          <w:bCs/>
        </w:rPr>
      </w:pPr>
      <m:oMathPara>
        <m:oMath>
          <m:sSub>
            <m:sSubPr>
              <m:ctrlPr>
                <w:rPr>
                  <w:rFonts w:ascii="Cambria Math" w:hAnsi="Cambria Math"/>
                  <w:b/>
                  <w:bCs/>
                  <w:i/>
                </w:rPr>
              </m:ctrlPr>
            </m:sSubPr>
            <m:e>
              <m:r>
                <m:rPr>
                  <m:sty m:val="bi"/>
                </m:rPr>
                <w:rPr>
                  <w:rFonts w:ascii="Cambria Math" w:hAnsi="Cambria Math"/>
                </w:rPr>
                <m:t>T</m:t>
              </m:r>
            </m:e>
            <m:sub>
              <m:r>
                <m:rPr>
                  <m:sty m:val="bi"/>
                </m:rPr>
                <w:rPr>
                  <w:rFonts w:ascii="Cambria Math" w:hAnsi="Cambria Math"/>
                </w:rPr>
                <m:t>GAP</m:t>
              </m:r>
            </m:sub>
          </m:sSub>
          <m:r>
            <m:rPr>
              <m:sty m:val="bi"/>
            </m:rPr>
            <w:rPr>
              <w:rFonts w:ascii="Cambria Math" w:hAnsi="Cambria Math"/>
            </w:rPr>
            <m:t xml:space="preserve">= </m:t>
          </m:r>
          <m:sSub>
            <m:sSubPr>
              <m:ctrlPr>
                <w:rPr>
                  <w:rFonts w:ascii="Cambria Math" w:hAnsi="Cambria Math"/>
                  <w:b/>
                  <w:bCs/>
                  <w:i/>
                </w:rPr>
              </m:ctrlPr>
            </m:sSubPr>
            <m:e>
              <m:r>
                <m:rPr>
                  <m:sty m:val="bi"/>
                </m:rPr>
                <w:rPr>
                  <w:rFonts w:ascii="Cambria Math" w:hAnsi="Cambria Math"/>
                </w:rPr>
                <m:t>N</m:t>
              </m:r>
            </m:e>
            <m:sub>
              <m:r>
                <m:rPr>
                  <m:sty m:val="bi"/>
                </m:rPr>
                <w:rPr>
                  <w:rFonts w:ascii="Cambria Math" w:hAnsi="Cambria Math"/>
                </w:rPr>
                <m:t>T,1</m:t>
              </m:r>
            </m:sub>
          </m:sSub>
          <m:r>
            <m:rPr>
              <m:sty m:val="bi"/>
            </m:rPr>
            <w:rPr>
              <w:rFonts w:ascii="Cambria Math" w:hAnsi="Cambria Math"/>
            </w:rPr>
            <m:t>+0.75</m:t>
          </m:r>
          <m:r>
            <m:rPr>
              <m:sty m:val="bi"/>
            </m:rPr>
            <w:rPr>
              <w:rFonts w:ascii="Cambria Math" w:hAnsi="Cambria Math"/>
            </w:rPr>
            <m:t>ms</m:t>
          </m:r>
        </m:oMath>
      </m:oMathPara>
    </w:p>
    <w:p w14:paraId="7B910772" w14:textId="77777777" w:rsidR="00C934DA" w:rsidRPr="00A07530" w:rsidRDefault="00C934DA" w:rsidP="00C934DA">
      <w:pPr>
        <w:rPr>
          <w:b/>
          <w:bCs/>
        </w:rPr>
      </w:pPr>
      <w:r w:rsidRPr="00A07530">
        <w:rPr>
          <w:b/>
          <w:bCs/>
        </w:rPr>
        <w:t xml:space="preserve">Where </w:t>
      </w:r>
      <m:oMath>
        <m:sSub>
          <m:sSubPr>
            <m:ctrlPr>
              <w:rPr>
                <w:rFonts w:ascii="Cambria Math" w:hAnsi="Cambria Math"/>
                <w:b/>
                <w:bCs/>
                <w:i/>
              </w:rPr>
            </m:ctrlPr>
          </m:sSubPr>
          <m:e>
            <m:r>
              <m:rPr>
                <m:sty m:val="bi"/>
              </m:rPr>
              <w:rPr>
                <w:rFonts w:ascii="Cambria Math" w:hAnsi="Cambria Math"/>
              </w:rPr>
              <m:t>N</m:t>
            </m:r>
          </m:e>
          <m:sub>
            <m:r>
              <m:rPr>
                <m:sty m:val="bi"/>
              </m:rPr>
              <w:rPr>
                <w:rFonts w:ascii="Cambria Math" w:hAnsi="Cambria Math"/>
              </w:rPr>
              <m:t>T,1</m:t>
            </m:r>
          </m:sub>
        </m:sSub>
      </m:oMath>
      <w:r w:rsidRPr="00A07530">
        <w:rPr>
          <w:b/>
          <w:bCs/>
        </w:rPr>
        <w:t xml:space="preserve"> is a time duration of symbols corresponding to a PDSCH reception time for UE processing capability 1 when additional PDSCH DM-RS is configured.</w:t>
      </w:r>
    </w:p>
    <w:p w14:paraId="05D795AE" w14:textId="77777777" w:rsidR="00C934DA" w:rsidRPr="00A07530" w:rsidRDefault="00C934DA" w:rsidP="00C934DA">
      <w:pPr>
        <w:pStyle w:val="ListParagraph"/>
        <w:numPr>
          <w:ilvl w:val="0"/>
          <w:numId w:val="40"/>
        </w:numPr>
        <w:rPr>
          <w:b/>
          <w:bCs/>
          <w:sz w:val="20"/>
          <w:szCs w:val="20"/>
        </w:rPr>
      </w:pPr>
      <w:r w:rsidRPr="00A07530">
        <w:rPr>
          <w:b/>
          <w:bCs/>
          <w:sz w:val="20"/>
          <w:szCs w:val="20"/>
        </w:rPr>
        <w:t>The time from MSG2 to MSG3 (T</w:t>
      </w:r>
      <w:r w:rsidRPr="00A07530">
        <w:rPr>
          <w:b/>
          <w:bCs/>
          <w:sz w:val="20"/>
          <w:szCs w:val="20"/>
          <w:vertAlign w:val="subscript"/>
        </w:rPr>
        <w:t>MSG3</w:t>
      </w:r>
      <w:r w:rsidRPr="00A07530">
        <w:rPr>
          <w:b/>
          <w:bCs/>
          <w:sz w:val="20"/>
          <w:szCs w:val="20"/>
        </w:rPr>
        <w:t>) can be formulated as:</w:t>
      </w:r>
    </w:p>
    <w:p w14:paraId="3A95F207" w14:textId="77777777" w:rsidR="00C934DA" w:rsidRPr="00A07530" w:rsidRDefault="005F0875" w:rsidP="00C934DA">
      <w:pPr>
        <w:rPr>
          <w:b/>
          <w:bCs/>
        </w:rPr>
      </w:pPr>
      <m:oMathPara>
        <m:oMath>
          <m:sSub>
            <m:sSubPr>
              <m:ctrlPr>
                <w:rPr>
                  <w:rFonts w:ascii="Cambria Math" w:hAnsi="Cambria Math"/>
                  <w:b/>
                  <w:bCs/>
                  <w:i/>
                </w:rPr>
              </m:ctrlPr>
            </m:sSubPr>
            <m:e>
              <m:r>
                <m:rPr>
                  <m:sty m:val="bi"/>
                </m:rPr>
                <w:rPr>
                  <w:rFonts w:ascii="Cambria Math" w:hAnsi="Cambria Math"/>
                </w:rPr>
                <m:t>T</m:t>
              </m:r>
            </m:e>
            <m:sub>
              <m:r>
                <m:rPr>
                  <m:sty m:val="bi"/>
                </m:rPr>
                <w:rPr>
                  <w:rFonts w:ascii="Cambria Math" w:hAnsi="Cambria Math"/>
                </w:rPr>
                <m:t>MSG</m:t>
              </m:r>
              <m:r>
                <m:rPr>
                  <m:sty m:val="bi"/>
                </m:rPr>
                <w:rPr>
                  <w:rFonts w:ascii="Cambria Math" w:hAnsi="Cambria Math"/>
                </w:rPr>
                <m:t>3</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K</m:t>
              </m:r>
            </m:e>
            <m:sub>
              <m:r>
                <m:rPr>
                  <m:sty m:val="bi"/>
                </m:rPr>
                <w:rPr>
                  <w:rFonts w:ascii="Cambria Math" w:hAnsi="Cambria Math"/>
                </w:rPr>
                <m:t>2</m:t>
              </m:r>
            </m:sub>
          </m:sSub>
          <m:r>
            <m:rPr>
              <m:sty m:val="bi"/>
            </m:rPr>
            <w:rPr>
              <w:rFonts w:ascii="Cambria Math" w:hAnsi="Cambria Math"/>
            </w:rPr>
            <m:t>+ ∆</m:t>
          </m:r>
        </m:oMath>
      </m:oMathPara>
    </w:p>
    <w:p w14:paraId="2572CAC4" w14:textId="2FD9928D" w:rsidR="00C934DA" w:rsidRDefault="00C934DA" w:rsidP="00C934DA">
      <w:pPr>
        <w:rPr>
          <w:b/>
          <w:bCs/>
        </w:rPr>
      </w:pPr>
      <w:r w:rsidRPr="00A07530">
        <w:rPr>
          <w:b/>
          <w:bCs/>
        </w:rPr>
        <w:t xml:space="preserve">Where </w:t>
      </w:r>
      <m:oMath>
        <m:sSub>
          <m:sSubPr>
            <m:ctrlPr>
              <w:rPr>
                <w:rFonts w:ascii="Cambria Math" w:hAnsi="Cambria Math"/>
                <w:b/>
                <w:bCs/>
                <w:i/>
              </w:rPr>
            </m:ctrlPr>
          </m:sSubPr>
          <m:e>
            <m:r>
              <m:rPr>
                <m:sty m:val="bi"/>
              </m:rPr>
              <w:rPr>
                <w:rFonts w:ascii="Cambria Math" w:hAnsi="Cambria Math"/>
              </w:rPr>
              <m:t>K</m:t>
            </m:r>
          </m:e>
          <m:sub>
            <m:r>
              <m:rPr>
                <m:sty m:val="bi"/>
              </m:rPr>
              <w:rPr>
                <w:rFonts w:ascii="Cambria Math" w:hAnsi="Cambria Math"/>
              </w:rPr>
              <m:t>2</m:t>
            </m:r>
          </m:sub>
        </m:sSub>
      </m:oMath>
      <w:r w:rsidRPr="00A07530">
        <w:rPr>
          <w:b/>
          <w:bCs/>
        </w:rPr>
        <w:t xml:space="preserve"> is defined in TS 38.214 clause 6.1.2.1 and Δ is defined in Table 6.1.2.1.1-5 of TS 38.214. </w:t>
      </w:r>
    </w:p>
    <w:p w14:paraId="48D80A9B" w14:textId="231BBEEB" w:rsidR="003A2052" w:rsidRDefault="003A2052" w:rsidP="00C934DA">
      <w:pPr>
        <w:rPr>
          <w:b/>
          <w:bCs/>
        </w:rPr>
      </w:pPr>
    </w:p>
    <w:p w14:paraId="3C677E70" w14:textId="696A6D8B" w:rsidR="003A2052" w:rsidRPr="003A2052" w:rsidRDefault="003A2052" w:rsidP="00C934DA">
      <w:pPr>
        <w:rPr>
          <w:i/>
          <w:iCs/>
        </w:rPr>
      </w:pPr>
      <w:r w:rsidRPr="003A2052">
        <w:rPr>
          <w:i/>
          <w:iCs/>
        </w:rPr>
        <w:t>On eMBB HO interruption requirements:</w:t>
      </w:r>
    </w:p>
    <w:p w14:paraId="698EF71B" w14:textId="25A25E4F" w:rsidR="00C934DA" w:rsidRPr="00C934DA" w:rsidRDefault="00C934DA" w:rsidP="00C934DA">
      <w:pPr>
        <w:rPr>
          <w:b/>
          <w:bCs/>
          <w:lang w:val="en-US"/>
        </w:rPr>
      </w:pPr>
      <w:r w:rsidRPr="00A227CF">
        <w:rPr>
          <w:b/>
          <w:bCs/>
          <w:lang w:val="en-US"/>
        </w:rPr>
        <w:t xml:space="preserve">Proposal 3. RAN4 to capture interruption time due to source cell release. RAN4 to discuss whether to devise a test to example interruption at source cell release. </w:t>
      </w:r>
    </w:p>
    <w:p w14:paraId="41F005B7" w14:textId="48B07B1F" w:rsidR="00C934DA" w:rsidRPr="0058472E" w:rsidRDefault="00C934DA" w:rsidP="00C934DA">
      <w:pPr>
        <w:rPr>
          <w:b/>
          <w:bCs/>
        </w:rPr>
      </w:pPr>
      <w:r w:rsidRPr="0056583B">
        <w:rPr>
          <w:b/>
          <w:bCs/>
        </w:rPr>
        <w:t xml:space="preserve">Observation </w:t>
      </w:r>
      <w:r>
        <w:rPr>
          <w:b/>
          <w:bCs/>
        </w:rPr>
        <w:t>4</w:t>
      </w:r>
      <w:r w:rsidRPr="0056583B">
        <w:rPr>
          <w:b/>
          <w:bCs/>
        </w:rPr>
        <w:t xml:space="preserve">. Simultaneous UL transmission is not possible for the case of asynchronous intra-frequency and intra-band inter-frequency scenarios even if UEs are equipped with 2Tx. Single Tx UEs will </w:t>
      </w:r>
      <w:r>
        <w:rPr>
          <w:b/>
          <w:bCs/>
        </w:rPr>
        <w:t xml:space="preserve">not </w:t>
      </w:r>
      <w:r w:rsidRPr="0056583B">
        <w:rPr>
          <w:b/>
          <w:bCs/>
        </w:rPr>
        <w:t xml:space="preserve">be able to support simultaneous UL transmission to source and target cells during eMBB HO. </w:t>
      </w:r>
    </w:p>
    <w:p w14:paraId="30180C75" w14:textId="3DF87A8A" w:rsidR="00C934DA" w:rsidRDefault="00C934DA" w:rsidP="00C934DA">
      <w:pPr>
        <w:rPr>
          <w:b/>
          <w:bCs/>
        </w:rPr>
      </w:pPr>
      <w:r w:rsidRPr="0056583B">
        <w:rPr>
          <w:b/>
          <w:bCs/>
        </w:rPr>
        <w:t xml:space="preserve">Proposal </w:t>
      </w:r>
      <w:r>
        <w:rPr>
          <w:b/>
          <w:bCs/>
        </w:rPr>
        <w:t>4</w:t>
      </w:r>
      <w:r w:rsidRPr="0056583B">
        <w:rPr>
          <w:b/>
          <w:bCs/>
        </w:rPr>
        <w:t>. RAN4 to define requirements for UE’s that use UL TDM for simultaneous UL connectivity</w:t>
      </w:r>
      <w:r>
        <w:rPr>
          <w:b/>
          <w:bCs/>
        </w:rPr>
        <w:t xml:space="preserve"> pending further progress in other RAN working groups. RAN4 should consider the impact of the following:</w:t>
      </w:r>
    </w:p>
    <w:p w14:paraId="25A2A937" w14:textId="77777777" w:rsidR="00C934DA" w:rsidRPr="00821D75" w:rsidRDefault="00C934DA" w:rsidP="00C934DA">
      <w:pPr>
        <w:pStyle w:val="ListParagraph"/>
        <w:numPr>
          <w:ilvl w:val="0"/>
          <w:numId w:val="44"/>
        </w:numPr>
        <w:rPr>
          <w:b/>
          <w:bCs/>
          <w:sz w:val="20"/>
          <w:szCs w:val="20"/>
        </w:rPr>
      </w:pPr>
      <w:r w:rsidRPr="00821D75">
        <w:rPr>
          <w:b/>
          <w:bCs/>
          <w:sz w:val="20"/>
          <w:szCs w:val="20"/>
        </w:rPr>
        <w:t>Large timing advance difference between source and target cell and the outage it can cause</w:t>
      </w:r>
    </w:p>
    <w:p w14:paraId="6C426C1C" w14:textId="77777777" w:rsidR="00C934DA" w:rsidRPr="00821D75" w:rsidRDefault="00C934DA" w:rsidP="00C934DA">
      <w:pPr>
        <w:pStyle w:val="ListParagraph"/>
        <w:numPr>
          <w:ilvl w:val="0"/>
          <w:numId w:val="44"/>
        </w:numPr>
        <w:rPr>
          <w:b/>
          <w:bCs/>
          <w:sz w:val="20"/>
          <w:szCs w:val="20"/>
        </w:rPr>
      </w:pPr>
      <w:r w:rsidRPr="00821D75">
        <w:rPr>
          <w:b/>
          <w:bCs/>
          <w:sz w:val="20"/>
          <w:szCs w:val="20"/>
        </w:rPr>
        <w:t>Asynchronous timing between source and target cell and how further guard periods are needed to protect DL and UL subframes from interference</w:t>
      </w:r>
    </w:p>
    <w:p w14:paraId="4B3A52CD" w14:textId="77777777" w:rsidR="00C934DA" w:rsidRPr="008E37BE" w:rsidRDefault="00C934DA" w:rsidP="00C934DA">
      <w:pPr>
        <w:pStyle w:val="ListParagraph"/>
        <w:numPr>
          <w:ilvl w:val="0"/>
          <w:numId w:val="44"/>
        </w:numPr>
        <w:rPr>
          <w:b/>
          <w:bCs/>
          <w:sz w:val="20"/>
          <w:szCs w:val="20"/>
        </w:rPr>
      </w:pPr>
      <w:r w:rsidRPr="00821D75">
        <w:rPr>
          <w:b/>
          <w:bCs/>
          <w:sz w:val="20"/>
          <w:szCs w:val="20"/>
        </w:rPr>
        <w:t xml:space="preserve">UE RF switching time in inter-frequency scenarios and how further guard periods are needed between UL subframes. </w:t>
      </w:r>
      <w:r w:rsidRPr="008E37BE">
        <w:rPr>
          <w:b/>
          <w:bCs/>
          <w:sz w:val="20"/>
          <w:szCs w:val="20"/>
        </w:rPr>
        <w:t>SRS carrier switching time can be used as a baseline for this.</w:t>
      </w:r>
    </w:p>
    <w:p w14:paraId="17875A37" w14:textId="77777777" w:rsidR="00C934DA" w:rsidRPr="00821D75" w:rsidRDefault="00C934DA" w:rsidP="00C934DA">
      <w:pPr>
        <w:pStyle w:val="ListParagraph"/>
        <w:rPr>
          <w:b/>
          <w:bCs/>
        </w:rPr>
      </w:pPr>
    </w:p>
    <w:p w14:paraId="3E9CBE5B" w14:textId="2FC8FC85" w:rsidR="00C934DA" w:rsidRPr="00C25323" w:rsidRDefault="00C934DA" w:rsidP="00C934DA">
      <w:pPr>
        <w:rPr>
          <w:b/>
          <w:bCs/>
        </w:rPr>
      </w:pPr>
      <w:r w:rsidRPr="00CA3693">
        <w:rPr>
          <w:b/>
          <w:bCs/>
        </w:rPr>
        <w:t xml:space="preserve">Proposal </w:t>
      </w:r>
      <w:r>
        <w:rPr>
          <w:b/>
          <w:bCs/>
        </w:rPr>
        <w:t>5</w:t>
      </w:r>
      <w:r w:rsidRPr="00CA3693">
        <w:rPr>
          <w:b/>
          <w:bCs/>
        </w:rPr>
        <w:t xml:space="preserve">. In intra-frequency synchronous scenarios, UL TDM to source or target cell should not count as interruption since UE is transmitting to either source or target cells. RAN4 can discuss how to define interruptions with UL TDM pattern in inter-frequency or asynchronous or large TA difference scenarios since in these cases, there </w:t>
      </w:r>
      <w:r>
        <w:rPr>
          <w:b/>
          <w:bCs/>
        </w:rPr>
        <w:t>can</w:t>
      </w:r>
      <w:r w:rsidRPr="00CA3693">
        <w:rPr>
          <w:b/>
          <w:bCs/>
        </w:rPr>
        <w:t xml:space="preserve"> be lost subframes with no transmission to either source or target cells. </w:t>
      </w:r>
    </w:p>
    <w:p w14:paraId="1E3F82C0" w14:textId="0E6F73F3" w:rsidR="00C934DA" w:rsidRPr="00445C9A" w:rsidRDefault="00C934DA" w:rsidP="00C934DA">
      <w:pPr>
        <w:rPr>
          <w:b/>
          <w:bCs/>
        </w:rPr>
      </w:pPr>
      <w:r w:rsidRPr="00445C9A">
        <w:rPr>
          <w:b/>
          <w:bCs/>
        </w:rPr>
        <w:t xml:space="preserve">Proposal </w:t>
      </w:r>
      <w:r>
        <w:rPr>
          <w:b/>
          <w:bCs/>
        </w:rPr>
        <w:t>6</w:t>
      </w:r>
      <w:r w:rsidRPr="00445C9A">
        <w:rPr>
          <w:b/>
          <w:bCs/>
        </w:rPr>
        <w:t xml:space="preserve">. RAN4 to define requirements for </w:t>
      </w:r>
      <w:r>
        <w:rPr>
          <w:b/>
          <w:bCs/>
        </w:rPr>
        <w:t>e</w:t>
      </w:r>
      <w:r w:rsidRPr="00445C9A">
        <w:rPr>
          <w:b/>
          <w:bCs/>
        </w:rPr>
        <w:t xml:space="preserve">MBB HO interruption assuming that UE: </w:t>
      </w:r>
    </w:p>
    <w:p w14:paraId="0587C37D" w14:textId="77777777" w:rsidR="00C934DA" w:rsidRPr="003D1B75" w:rsidRDefault="00C934DA" w:rsidP="00C934DA">
      <w:pPr>
        <w:pStyle w:val="ListParagraph"/>
        <w:numPr>
          <w:ilvl w:val="0"/>
          <w:numId w:val="41"/>
        </w:numPr>
        <w:rPr>
          <w:b/>
          <w:bCs/>
          <w:sz w:val="20"/>
          <w:szCs w:val="20"/>
        </w:rPr>
      </w:pPr>
      <w:r w:rsidRPr="003D1B75">
        <w:rPr>
          <w:b/>
          <w:bCs/>
          <w:sz w:val="20"/>
          <w:szCs w:val="20"/>
        </w:rPr>
        <w:t>Operates in PCell only mode on both source and target cell (i.e., no CA)</w:t>
      </w:r>
    </w:p>
    <w:p w14:paraId="44634DAE" w14:textId="77777777" w:rsidR="00C934DA" w:rsidRPr="003D1B75" w:rsidRDefault="00C934DA" w:rsidP="00C934DA">
      <w:pPr>
        <w:pStyle w:val="ListParagraph"/>
        <w:numPr>
          <w:ilvl w:val="0"/>
          <w:numId w:val="41"/>
        </w:numPr>
        <w:rPr>
          <w:b/>
          <w:bCs/>
          <w:sz w:val="20"/>
          <w:szCs w:val="20"/>
        </w:rPr>
      </w:pPr>
      <w:r w:rsidRPr="003D1B75">
        <w:rPr>
          <w:b/>
          <w:bCs/>
          <w:sz w:val="20"/>
          <w:szCs w:val="20"/>
        </w:rPr>
        <w:t>Suspends gap-based measurements on source cell</w:t>
      </w:r>
    </w:p>
    <w:p w14:paraId="30A7D9B0" w14:textId="77777777" w:rsidR="00C934DA" w:rsidRPr="003D1B75" w:rsidRDefault="00C934DA" w:rsidP="00C934DA">
      <w:pPr>
        <w:pStyle w:val="ListParagraph"/>
        <w:numPr>
          <w:ilvl w:val="0"/>
          <w:numId w:val="41"/>
        </w:numPr>
        <w:rPr>
          <w:b/>
          <w:bCs/>
          <w:sz w:val="20"/>
          <w:szCs w:val="20"/>
        </w:rPr>
      </w:pPr>
      <w:r w:rsidRPr="003D1B75">
        <w:rPr>
          <w:b/>
          <w:bCs/>
          <w:sz w:val="20"/>
          <w:szCs w:val="20"/>
        </w:rPr>
        <w:t xml:space="preserve">Does not require any configuration change (e.g., DL-MIMO, UL-MIMO, number of layers, </w:t>
      </w:r>
      <w:r w:rsidRPr="003D1B75">
        <w:rPr>
          <w:b/>
          <w:bCs/>
          <w:i/>
          <w:iCs/>
          <w:sz w:val="20"/>
          <w:szCs w:val="20"/>
        </w:rPr>
        <w:t>nrofSRS-ports,</w:t>
      </w:r>
      <w:r w:rsidRPr="003D1B75">
        <w:rPr>
          <w:b/>
          <w:bCs/>
          <w:sz w:val="20"/>
          <w:szCs w:val="20"/>
        </w:rPr>
        <w:t xml:space="preserve"> …) while remaining within the UE capability to sustain simultaneous connectivity to source and target cells</w:t>
      </w:r>
    </w:p>
    <w:p w14:paraId="325707BC" w14:textId="77777777" w:rsidR="00C934DA" w:rsidRPr="003D1B75" w:rsidRDefault="00C934DA" w:rsidP="00C934DA">
      <w:pPr>
        <w:pStyle w:val="ListParagraph"/>
        <w:numPr>
          <w:ilvl w:val="0"/>
          <w:numId w:val="41"/>
        </w:numPr>
        <w:rPr>
          <w:b/>
          <w:bCs/>
          <w:sz w:val="20"/>
          <w:szCs w:val="20"/>
        </w:rPr>
      </w:pPr>
      <w:r w:rsidRPr="003D1B75">
        <w:rPr>
          <w:b/>
          <w:bCs/>
          <w:sz w:val="20"/>
          <w:szCs w:val="20"/>
        </w:rPr>
        <w:t>Does not receive large Timing Advance (TA) update for target cell that causes additional outage</w:t>
      </w:r>
    </w:p>
    <w:p w14:paraId="4FD0861F" w14:textId="77777777" w:rsidR="00C934DA" w:rsidRPr="003D1B75" w:rsidRDefault="00C934DA" w:rsidP="00C934DA">
      <w:pPr>
        <w:rPr>
          <w:b/>
          <w:bCs/>
        </w:rPr>
      </w:pPr>
    </w:p>
    <w:p w14:paraId="0DB63067" w14:textId="77777777" w:rsidR="00C934DA" w:rsidRPr="00BE78B0" w:rsidRDefault="00C934DA" w:rsidP="00C934DA">
      <w:pPr>
        <w:pStyle w:val="TH"/>
      </w:pPr>
      <w:r w:rsidRPr="00BE78B0">
        <w:t>Table 8.2.4.2.1-1: Interruption duration for PSCell/SCell addition/release for inter-band DC/CA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361"/>
        <w:gridCol w:w="2521"/>
        <w:gridCol w:w="2890"/>
      </w:tblGrid>
      <w:tr w:rsidR="00C934DA" w:rsidRPr="00BE78B0" w14:paraId="62199B29" w14:textId="77777777" w:rsidTr="00D35473">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216B8A6E" w14:textId="77777777" w:rsidR="00C934DA" w:rsidRPr="00BE78B0" w:rsidRDefault="00C934DA" w:rsidP="00D35473">
            <w:pPr>
              <w:keepNext/>
              <w:keepLines/>
              <w:spacing w:after="0"/>
              <w:jc w:val="center"/>
            </w:pPr>
            <w:r w:rsidRPr="00BE78B0">
              <w:rPr>
                <w:rFonts w:ascii="Arial" w:hAnsi="Arial"/>
                <w:b/>
                <w:noProof/>
                <w:sz w:val="18"/>
                <w:lang w:val="en-US" w:eastAsia="zh-CN"/>
              </w:rPr>
              <w:drawing>
                <wp:inline distT="0" distB="0" distL="0" distR="0" wp14:anchorId="78633870" wp14:editId="11791FB2">
                  <wp:extent cx="142240" cy="160020"/>
                  <wp:effectExtent l="0" t="0" r="0" b="0"/>
                  <wp:docPr id="5" name="图片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61" w:type="dxa"/>
            <w:tcBorders>
              <w:top w:val="single" w:sz="4" w:space="0" w:color="auto"/>
              <w:left w:val="single" w:sz="4" w:space="0" w:color="auto"/>
              <w:bottom w:val="single" w:sz="4" w:space="0" w:color="auto"/>
              <w:right w:val="single" w:sz="4" w:space="0" w:color="auto"/>
            </w:tcBorders>
            <w:hideMark/>
          </w:tcPr>
          <w:p w14:paraId="35AA5B7A" w14:textId="77777777" w:rsidR="00C934DA" w:rsidRPr="00BE78B0" w:rsidRDefault="00C934DA" w:rsidP="00D35473">
            <w:pPr>
              <w:keepNext/>
              <w:keepLines/>
              <w:spacing w:after="0"/>
              <w:jc w:val="center"/>
            </w:pPr>
            <w:r w:rsidRPr="00BE78B0">
              <w:rPr>
                <w:rFonts w:ascii="Arial" w:hAnsi="Arial"/>
                <w:b/>
                <w:sz w:val="18"/>
              </w:rPr>
              <w:t>NR Slot length (ms) of victim cell</w:t>
            </w:r>
          </w:p>
        </w:tc>
        <w:tc>
          <w:tcPr>
            <w:tcW w:w="5411" w:type="dxa"/>
            <w:gridSpan w:val="2"/>
            <w:tcBorders>
              <w:top w:val="single" w:sz="4" w:space="0" w:color="auto"/>
              <w:left w:val="single" w:sz="4" w:space="0" w:color="auto"/>
              <w:bottom w:val="single" w:sz="4" w:space="0" w:color="auto"/>
              <w:right w:val="single" w:sz="4" w:space="0" w:color="auto"/>
            </w:tcBorders>
            <w:hideMark/>
          </w:tcPr>
          <w:p w14:paraId="63843607" w14:textId="77777777" w:rsidR="00C934DA" w:rsidRPr="00BE78B0" w:rsidRDefault="00C934DA" w:rsidP="00D35473">
            <w:pPr>
              <w:keepNext/>
              <w:keepLines/>
              <w:spacing w:after="0"/>
              <w:jc w:val="center"/>
            </w:pPr>
            <w:r w:rsidRPr="00BE78B0">
              <w:rPr>
                <w:rFonts w:ascii="Arial" w:hAnsi="Arial"/>
                <w:b/>
                <w:sz w:val="18"/>
              </w:rPr>
              <w:t>Interruption length (slot)</w:t>
            </w:r>
          </w:p>
        </w:tc>
      </w:tr>
      <w:tr w:rsidR="00C934DA" w:rsidRPr="00BE78B0" w14:paraId="47AC90E1" w14:textId="77777777" w:rsidTr="00D35473">
        <w:trPr>
          <w:jc w:val="center"/>
        </w:trPr>
        <w:tc>
          <w:tcPr>
            <w:tcW w:w="649" w:type="dxa"/>
            <w:tcBorders>
              <w:top w:val="single" w:sz="4" w:space="0" w:color="auto"/>
              <w:left w:val="single" w:sz="4" w:space="0" w:color="auto"/>
              <w:bottom w:val="single" w:sz="4" w:space="0" w:color="auto"/>
              <w:right w:val="single" w:sz="4" w:space="0" w:color="auto"/>
            </w:tcBorders>
            <w:hideMark/>
          </w:tcPr>
          <w:p w14:paraId="0B624DF6" w14:textId="77777777" w:rsidR="00C934DA" w:rsidRPr="00BE78B0" w:rsidRDefault="00C934DA" w:rsidP="00D35473">
            <w:pPr>
              <w:pStyle w:val="TAC"/>
            </w:pPr>
            <w:r w:rsidRPr="00BE78B0">
              <w:t>0</w:t>
            </w:r>
          </w:p>
        </w:tc>
        <w:tc>
          <w:tcPr>
            <w:tcW w:w="1361" w:type="dxa"/>
            <w:tcBorders>
              <w:top w:val="single" w:sz="4" w:space="0" w:color="auto"/>
              <w:left w:val="single" w:sz="4" w:space="0" w:color="auto"/>
              <w:bottom w:val="single" w:sz="4" w:space="0" w:color="auto"/>
              <w:right w:val="single" w:sz="4" w:space="0" w:color="auto"/>
            </w:tcBorders>
            <w:hideMark/>
          </w:tcPr>
          <w:p w14:paraId="55559694" w14:textId="77777777" w:rsidR="00C934DA" w:rsidRPr="00BE78B0" w:rsidRDefault="00C934DA" w:rsidP="00D35473">
            <w:pPr>
              <w:pStyle w:val="TAC"/>
            </w:pPr>
            <w:r w:rsidRPr="00BE78B0">
              <w:t>1</w:t>
            </w:r>
          </w:p>
        </w:tc>
        <w:tc>
          <w:tcPr>
            <w:tcW w:w="5411" w:type="dxa"/>
            <w:gridSpan w:val="2"/>
            <w:tcBorders>
              <w:top w:val="single" w:sz="4" w:space="0" w:color="auto"/>
              <w:left w:val="single" w:sz="4" w:space="0" w:color="auto"/>
              <w:bottom w:val="single" w:sz="4" w:space="0" w:color="auto"/>
              <w:right w:val="single" w:sz="4" w:space="0" w:color="auto"/>
            </w:tcBorders>
            <w:hideMark/>
          </w:tcPr>
          <w:p w14:paraId="4F7E9F28" w14:textId="77777777" w:rsidR="00C934DA" w:rsidRPr="00BE78B0" w:rsidRDefault="00C934DA" w:rsidP="00D35473">
            <w:pPr>
              <w:pStyle w:val="TAC"/>
              <w:rPr>
                <w:rFonts w:cs="Arial"/>
                <w:szCs w:val="18"/>
              </w:rPr>
            </w:pPr>
            <w:r w:rsidRPr="00BE78B0">
              <w:rPr>
                <w:rFonts w:cs="Arial"/>
                <w:szCs w:val="18"/>
              </w:rPr>
              <w:t xml:space="preserve">1 </w:t>
            </w:r>
          </w:p>
        </w:tc>
      </w:tr>
      <w:tr w:rsidR="00C934DA" w:rsidRPr="00BE78B0" w14:paraId="7A2C9898" w14:textId="77777777" w:rsidTr="00D35473">
        <w:trPr>
          <w:jc w:val="center"/>
        </w:trPr>
        <w:tc>
          <w:tcPr>
            <w:tcW w:w="649" w:type="dxa"/>
            <w:tcBorders>
              <w:top w:val="single" w:sz="4" w:space="0" w:color="auto"/>
              <w:left w:val="single" w:sz="4" w:space="0" w:color="auto"/>
              <w:bottom w:val="single" w:sz="4" w:space="0" w:color="auto"/>
              <w:right w:val="single" w:sz="4" w:space="0" w:color="auto"/>
            </w:tcBorders>
            <w:hideMark/>
          </w:tcPr>
          <w:p w14:paraId="423EEF4A" w14:textId="77777777" w:rsidR="00C934DA" w:rsidRPr="00BE78B0" w:rsidRDefault="00C934DA" w:rsidP="00D35473">
            <w:pPr>
              <w:pStyle w:val="TAC"/>
            </w:pPr>
            <w:r w:rsidRPr="00BE78B0">
              <w:t>1</w:t>
            </w:r>
          </w:p>
        </w:tc>
        <w:tc>
          <w:tcPr>
            <w:tcW w:w="1361" w:type="dxa"/>
            <w:tcBorders>
              <w:top w:val="single" w:sz="4" w:space="0" w:color="auto"/>
              <w:left w:val="single" w:sz="4" w:space="0" w:color="auto"/>
              <w:bottom w:val="single" w:sz="4" w:space="0" w:color="auto"/>
              <w:right w:val="single" w:sz="4" w:space="0" w:color="auto"/>
            </w:tcBorders>
            <w:hideMark/>
          </w:tcPr>
          <w:p w14:paraId="036EC4C6" w14:textId="77777777" w:rsidR="00C934DA" w:rsidRPr="00BE78B0" w:rsidRDefault="00C934DA" w:rsidP="00D35473">
            <w:pPr>
              <w:pStyle w:val="TAC"/>
            </w:pPr>
            <w:r w:rsidRPr="00BE78B0">
              <w:t>0.5</w:t>
            </w:r>
          </w:p>
        </w:tc>
        <w:tc>
          <w:tcPr>
            <w:tcW w:w="5411" w:type="dxa"/>
            <w:gridSpan w:val="2"/>
            <w:tcBorders>
              <w:top w:val="single" w:sz="4" w:space="0" w:color="auto"/>
              <w:left w:val="single" w:sz="4" w:space="0" w:color="auto"/>
              <w:bottom w:val="single" w:sz="4" w:space="0" w:color="auto"/>
              <w:right w:val="single" w:sz="4" w:space="0" w:color="auto"/>
            </w:tcBorders>
            <w:hideMark/>
          </w:tcPr>
          <w:p w14:paraId="4B7FA011" w14:textId="77777777" w:rsidR="00C934DA" w:rsidRPr="00BE78B0" w:rsidRDefault="00C934DA" w:rsidP="00D35473">
            <w:pPr>
              <w:pStyle w:val="TAC"/>
              <w:rPr>
                <w:rFonts w:cs="Arial"/>
                <w:szCs w:val="18"/>
              </w:rPr>
            </w:pPr>
            <w:r w:rsidRPr="00BE78B0">
              <w:rPr>
                <w:rFonts w:cs="Arial"/>
                <w:szCs w:val="18"/>
              </w:rPr>
              <w:t xml:space="preserve">2 </w:t>
            </w:r>
          </w:p>
        </w:tc>
      </w:tr>
      <w:tr w:rsidR="00C934DA" w:rsidRPr="00BE78B0" w14:paraId="6F6067E8" w14:textId="77777777" w:rsidTr="00D35473">
        <w:trPr>
          <w:jc w:val="center"/>
        </w:trPr>
        <w:tc>
          <w:tcPr>
            <w:tcW w:w="649" w:type="dxa"/>
            <w:vMerge w:val="restart"/>
            <w:tcBorders>
              <w:top w:val="single" w:sz="4" w:space="0" w:color="auto"/>
              <w:left w:val="single" w:sz="4" w:space="0" w:color="auto"/>
              <w:bottom w:val="single" w:sz="4" w:space="0" w:color="auto"/>
              <w:right w:val="single" w:sz="4" w:space="0" w:color="auto"/>
            </w:tcBorders>
            <w:hideMark/>
          </w:tcPr>
          <w:p w14:paraId="1BE6F90E" w14:textId="77777777" w:rsidR="00C934DA" w:rsidRPr="00BE78B0" w:rsidRDefault="00C934DA" w:rsidP="00D35473">
            <w:pPr>
              <w:pStyle w:val="TAC"/>
            </w:pPr>
            <w:r w:rsidRPr="00BE78B0">
              <w:t>2</w:t>
            </w:r>
          </w:p>
        </w:tc>
        <w:tc>
          <w:tcPr>
            <w:tcW w:w="1361" w:type="dxa"/>
            <w:vMerge w:val="restart"/>
            <w:tcBorders>
              <w:top w:val="single" w:sz="4" w:space="0" w:color="auto"/>
              <w:left w:val="single" w:sz="4" w:space="0" w:color="auto"/>
              <w:bottom w:val="single" w:sz="4" w:space="0" w:color="auto"/>
              <w:right w:val="single" w:sz="4" w:space="0" w:color="auto"/>
            </w:tcBorders>
            <w:hideMark/>
          </w:tcPr>
          <w:p w14:paraId="06ED4F0D" w14:textId="77777777" w:rsidR="00C934DA" w:rsidRPr="00BE78B0" w:rsidRDefault="00C934DA" w:rsidP="00D35473">
            <w:pPr>
              <w:pStyle w:val="TAC"/>
            </w:pPr>
            <w:r w:rsidRPr="00BE78B0">
              <w:t>0.25</w:t>
            </w:r>
          </w:p>
        </w:tc>
        <w:tc>
          <w:tcPr>
            <w:tcW w:w="2521" w:type="dxa"/>
            <w:tcBorders>
              <w:top w:val="single" w:sz="4" w:space="0" w:color="auto"/>
              <w:left w:val="single" w:sz="4" w:space="0" w:color="auto"/>
              <w:bottom w:val="single" w:sz="4" w:space="0" w:color="auto"/>
              <w:right w:val="single" w:sz="4" w:space="0" w:color="auto"/>
            </w:tcBorders>
            <w:hideMark/>
          </w:tcPr>
          <w:p w14:paraId="58FE6BB4" w14:textId="77777777" w:rsidR="00C934DA" w:rsidRPr="00BE78B0" w:rsidRDefault="00C934DA" w:rsidP="00D35473">
            <w:pPr>
              <w:keepNext/>
              <w:keepLines/>
              <w:spacing w:after="0"/>
              <w:jc w:val="center"/>
              <w:rPr>
                <w:rFonts w:ascii="Arial" w:hAnsi="Arial"/>
                <w:sz w:val="18"/>
                <w:lang w:eastAsia="zh-CN"/>
              </w:rPr>
            </w:pPr>
            <w:r w:rsidRPr="00BE78B0">
              <w:rPr>
                <w:rFonts w:ascii="Arial" w:hAnsi="Arial"/>
                <w:sz w:val="18"/>
                <w:lang w:eastAsia="zh-CN"/>
              </w:rPr>
              <w:t>Both aggressor cell and victim cell are on FR2</w:t>
            </w:r>
          </w:p>
        </w:tc>
        <w:tc>
          <w:tcPr>
            <w:tcW w:w="2890" w:type="dxa"/>
            <w:tcBorders>
              <w:top w:val="single" w:sz="4" w:space="0" w:color="auto"/>
              <w:left w:val="single" w:sz="4" w:space="0" w:color="auto"/>
              <w:bottom w:val="single" w:sz="4" w:space="0" w:color="auto"/>
              <w:right w:val="single" w:sz="4" w:space="0" w:color="auto"/>
            </w:tcBorders>
            <w:hideMark/>
          </w:tcPr>
          <w:p w14:paraId="3376CB42" w14:textId="77777777" w:rsidR="00C934DA" w:rsidRPr="00BE78B0" w:rsidRDefault="00C934DA" w:rsidP="00D35473">
            <w:pPr>
              <w:pStyle w:val="TAC"/>
              <w:rPr>
                <w:rFonts w:cs="Arial"/>
                <w:szCs w:val="18"/>
              </w:rPr>
            </w:pPr>
            <w:r w:rsidRPr="00BE78B0">
              <w:rPr>
                <w:rFonts w:cs="Arial"/>
                <w:szCs w:val="18"/>
              </w:rPr>
              <w:t xml:space="preserve">4 </w:t>
            </w:r>
          </w:p>
        </w:tc>
      </w:tr>
      <w:tr w:rsidR="00C934DA" w:rsidRPr="00BE78B0" w14:paraId="584063DF" w14:textId="77777777" w:rsidTr="00D3547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7F33AE" w14:textId="77777777" w:rsidR="00C934DA" w:rsidRPr="00BE78B0" w:rsidRDefault="00C934DA" w:rsidP="00D3547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EE728E" w14:textId="77777777" w:rsidR="00C934DA" w:rsidRPr="00BE78B0" w:rsidRDefault="00C934DA" w:rsidP="00D35473">
            <w:pPr>
              <w:spacing w:after="0"/>
              <w:rPr>
                <w:rFonts w:ascii="Arial" w:hAnsi="Arial"/>
                <w:sz w:val="18"/>
              </w:rPr>
            </w:pPr>
          </w:p>
        </w:tc>
        <w:tc>
          <w:tcPr>
            <w:tcW w:w="2521" w:type="dxa"/>
            <w:tcBorders>
              <w:top w:val="single" w:sz="4" w:space="0" w:color="auto"/>
              <w:left w:val="single" w:sz="4" w:space="0" w:color="auto"/>
              <w:bottom w:val="single" w:sz="4" w:space="0" w:color="auto"/>
              <w:right w:val="single" w:sz="4" w:space="0" w:color="auto"/>
            </w:tcBorders>
            <w:hideMark/>
          </w:tcPr>
          <w:p w14:paraId="78AD6AFA" w14:textId="77777777" w:rsidR="00C934DA" w:rsidRPr="00BE78B0" w:rsidRDefault="00C934DA" w:rsidP="00D35473">
            <w:pPr>
              <w:keepNext/>
              <w:keepLines/>
              <w:spacing w:after="0"/>
              <w:jc w:val="center"/>
              <w:rPr>
                <w:rFonts w:ascii="Arial" w:hAnsi="Arial"/>
                <w:sz w:val="18"/>
                <w:lang w:eastAsia="zh-CN"/>
              </w:rPr>
            </w:pPr>
            <w:r w:rsidRPr="00BE78B0">
              <w:rPr>
                <w:rFonts w:ascii="Arial" w:hAnsi="Arial"/>
                <w:sz w:val="18"/>
                <w:lang w:eastAsia="zh-CN"/>
              </w:rPr>
              <w:t>Either aggressor cell or victim cell is on FR1</w:t>
            </w:r>
          </w:p>
        </w:tc>
        <w:tc>
          <w:tcPr>
            <w:tcW w:w="2890" w:type="dxa"/>
            <w:tcBorders>
              <w:top w:val="single" w:sz="4" w:space="0" w:color="auto"/>
              <w:left w:val="single" w:sz="4" w:space="0" w:color="auto"/>
              <w:bottom w:val="single" w:sz="4" w:space="0" w:color="auto"/>
              <w:right w:val="single" w:sz="4" w:space="0" w:color="auto"/>
            </w:tcBorders>
            <w:hideMark/>
          </w:tcPr>
          <w:p w14:paraId="2FEDFE45" w14:textId="77777777" w:rsidR="00C934DA" w:rsidRPr="00BE78B0" w:rsidRDefault="00C934DA" w:rsidP="00D35473">
            <w:pPr>
              <w:pStyle w:val="TAC"/>
              <w:rPr>
                <w:rFonts w:cs="Arial"/>
                <w:szCs w:val="18"/>
              </w:rPr>
            </w:pPr>
            <w:r w:rsidRPr="00BE78B0">
              <w:rPr>
                <w:rFonts w:cs="Arial"/>
                <w:szCs w:val="18"/>
              </w:rPr>
              <w:t>5</w:t>
            </w:r>
          </w:p>
        </w:tc>
      </w:tr>
      <w:tr w:rsidR="00C934DA" w:rsidRPr="00BE78B0" w14:paraId="4C96078D" w14:textId="77777777" w:rsidTr="00D35473">
        <w:trPr>
          <w:jc w:val="center"/>
        </w:trPr>
        <w:tc>
          <w:tcPr>
            <w:tcW w:w="649" w:type="dxa"/>
            <w:vMerge w:val="restart"/>
            <w:tcBorders>
              <w:top w:val="single" w:sz="4" w:space="0" w:color="auto"/>
              <w:left w:val="single" w:sz="4" w:space="0" w:color="auto"/>
              <w:bottom w:val="single" w:sz="4" w:space="0" w:color="auto"/>
              <w:right w:val="single" w:sz="4" w:space="0" w:color="auto"/>
            </w:tcBorders>
            <w:hideMark/>
          </w:tcPr>
          <w:p w14:paraId="394454CD" w14:textId="77777777" w:rsidR="00C934DA" w:rsidRPr="00BE78B0" w:rsidRDefault="00C934DA" w:rsidP="00D35473">
            <w:pPr>
              <w:pStyle w:val="TAC"/>
            </w:pPr>
            <w:r w:rsidRPr="00BE78B0">
              <w:t>3</w:t>
            </w:r>
          </w:p>
        </w:tc>
        <w:tc>
          <w:tcPr>
            <w:tcW w:w="1361" w:type="dxa"/>
            <w:vMerge w:val="restart"/>
            <w:tcBorders>
              <w:top w:val="single" w:sz="4" w:space="0" w:color="auto"/>
              <w:left w:val="single" w:sz="4" w:space="0" w:color="auto"/>
              <w:bottom w:val="single" w:sz="4" w:space="0" w:color="auto"/>
              <w:right w:val="single" w:sz="4" w:space="0" w:color="auto"/>
            </w:tcBorders>
            <w:hideMark/>
          </w:tcPr>
          <w:p w14:paraId="0D7620CE" w14:textId="77777777" w:rsidR="00C934DA" w:rsidRPr="00BE78B0" w:rsidRDefault="00C934DA" w:rsidP="00D35473">
            <w:pPr>
              <w:pStyle w:val="TAC"/>
            </w:pPr>
            <w:r w:rsidRPr="00BE78B0">
              <w:t>0.125</w:t>
            </w:r>
          </w:p>
        </w:tc>
        <w:tc>
          <w:tcPr>
            <w:tcW w:w="2521" w:type="dxa"/>
            <w:tcBorders>
              <w:top w:val="single" w:sz="4" w:space="0" w:color="auto"/>
              <w:left w:val="single" w:sz="4" w:space="0" w:color="auto"/>
              <w:bottom w:val="single" w:sz="4" w:space="0" w:color="auto"/>
              <w:right w:val="single" w:sz="4" w:space="0" w:color="auto"/>
            </w:tcBorders>
            <w:hideMark/>
          </w:tcPr>
          <w:p w14:paraId="07D53AA2" w14:textId="77777777" w:rsidR="00C934DA" w:rsidRPr="00BE78B0" w:rsidRDefault="00C934DA" w:rsidP="00D35473">
            <w:pPr>
              <w:keepNext/>
              <w:keepLines/>
              <w:spacing w:after="0"/>
              <w:jc w:val="center"/>
              <w:rPr>
                <w:rFonts w:ascii="Arial" w:hAnsi="Arial"/>
                <w:sz w:val="18"/>
                <w:lang w:eastAsia="zh-CN"/>
              </w:rPr>
            </w:pPr>
            <w:r w:rsidRPr="00BE78B0">
              <w:rPr>
                <w:rFonts w:ascii="Arial" w:hAnsi="Arial"/>
                <w:sz w:val="18"/>
                <w:lang w:eastAsia="zh-CN"/>
              </w:rPr>
              <w:t>Aggressor cell is on FR2</w:t>
            </w:r>
          </w:p>
        </w:tc>
        <w:tc>
          <w:tcPr>
            <w:tcW w:w="2890" w:type="dxa"/>
            <w:tcBorders>
              <w:top w:val="single" w:sz="4" w:space="0" w:color="auto"/>
              <w:left w:val="single" w:sz="4" w:space="0" w:color="auto"/>
              <w:bottom w:val="single" w:sz="4" w:space="0" w:color="auto"/>
              <w:right w:val="single" w:sz="4" w:space="0" w:color="auto"/>
            </w:tcBorders>
            <w:hideMark/>
          </w:tcPr>
          <w:p w14:paraId="1A370A62" w14:textId="77777777" w:rsidR="00C934DA" w:rsidRPr="00BE78B0" w:rsidRDefault="00C934DA" w:rsidP="00D35473">
            <w:pPr>
              <w:pStyle w:val="TAC"/>
              <w:rPr>
                <w:rFonts w:cs="Arial"/>
                <w:szCs w:val="18"/>
              </w:rPr>
            </w:pPr>
            <w:r w:rsidRPr="00BE78B0">
              <w:rPr>
                <w:rFonts w:cs="Arial"/>
                <w:szCs w:val="18"/>
              </w:rPr>
              <w:t xml:space="preserve">8 </w:t>
            </w:r>
          </w:p>
        </w:tc>
      </w:tr>
      <w:tr w:rsidR="00C934DA" w:rsidRPr="00BE78B0" w14:paraId="4CBFF86F" w14:textId="77777777" w:rsidTr="00D3547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AC7DAC" w14:textId="77777777" w:rsidR="00C934DA" w:rsidRPr="00BE78B0" w:rsidRDefault="00C934DA" w:rsidP="00D3547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5DF3F9" w14:textId="77777777" w:rsidR="00C934DA" w:rsidRPr="00BE78B0" w:rsidRDefault="00C934DA" w:rsidP="00D35473">
            <w:pPr>
              <w:spacing w:after="0"/>
              <w:rPr>
                <w:rFonts w:ascii="Arial" w:hAnsi="Arial"/>
                <w:sz w:val="18"/>
              </w:rPr>
            </w:pPr>
          </w:p>
        </w:tc>
        <w:tc>
          <w:tcPr>
            <w:tcW w:w="2521" w:type="dxa"/>
            <w:tcBorders>
              <w:top w:val="single" w:sz="4" w:space="0" w:color="auto"/>
              <w:left w:val="single" w:sz="4" w:space="0" w:color="auto"/>
              <w:bottom w:val="single" w:sz="4" w:space="0" w:color="auto"/>
              <w:right w:val="single" w:sz="4" w:space="0" w:color="auto"/>
            </w:tcBorders>
            <w:hideMark/>
          </w:tcPr>
          <w:p w14:paraId="15654BAF" w14:textId="77777777" w:rsidR="00C934DA" w:rsidRPr="00BE78B0" w:rsidRDefault="00C934DA" w:rsidP="00D35473">
            <w:pPr>
              <w:keepNext/>
              <w:keepLines/>
              <w:spacing w:after="0"/>
              <w:jc w:val="center"/>
              <w:rPr>
                <w:rFonts w:ascii="Arial" w:hAnsi="Arial"/>
                <w:sz w:val="18"/>
                <w:lang w:eastAsia="zh-CN"/>
              </w:rPr>
            </w:pPr>
            <w:r w:rsidRPr="00BE78B0">
              <w:rPr>
                <w:rFonts w:ascii="Arial" w:hAnsi="Arial"/>
                <w:sz w:val="18"/>
                <w:lang w:eastAsia="zh-CN"/>
              </w:rPr>
              <w:t>Aggressor cell is on FR1</w:t>
            </w:r>
          </w:p>
        </w:tc>
        <w:tc>
          <w:tcPr>
            <w:tcW w:w="2890" w:type="dxa"/>
            <w:tcBorders>
              <w:top w:val="single" w:sz="4" w:space="0" w:color="auto"/>
              <w:left w:val="single" w:sz="4" w:space="0" w:color="auto"/>
              <w:bottom w:val="single" w:sz="4" w:space="0" w:color="auto"/>
              <w:right w:val="single" w:sz="4" w:space="0" w:color="auto"/>
            </w:tcBorders>
            <w:hideMark/>
          </w:tcPr>
          <w:p w14:paraId="6A154333" w14:textId="77777777" w:rsidR="00C934DA" w:rsidRPr="00BE78B0" w:rsidRDefault="00C934DA" w:rsidP="00D35473">
            <w:pPr>
              <w:pStyle w:val="TAC"/>
              <w:rPr>
                <w:rFonts w:cs="Arial"/>
                <w:szCs w:val="18"/>
              </w:rPr>
            </w:pPr>
            <w:r w:rsidRPr="00BE78B0">
              <w:rPr>
                <w:rFonts w:cs="Arial"/>
                <w:szCs w:val="18"/>
              </w:rPr>
              <w:t xml:space="preserve">9 </w:t>
            </w:r>
          </w:p>
        </w:tc>
      </w:tr>
      <w:tr w:rsidR="00C934DA" w:rsidRPr="00BE78B0" w14:paraId="4096EB00" w14:textId="77777777" w:rsidTr="00D35473">
        <w:trPr>
          <w:jc w:val="center"/>
        </w:trPr>
        <w:tc>
          <w:tcPr>
            <w:tcW w:w="7421" w:type="dxa"/>
            <w:gridSpan w:val="4"/>
            <w:tcBorders>
              <w:top w:val="single" w:sz="4" w:space="0" w:color="auto"/>
              <w:left w:val="single" w:sz="4" w:space="0" w:color="auto"/>
              <w:bottom w:val="single" w:sz="4" w:space="0" w:color="auto"/>
              <w:right w:val="single" w:sz="4" w:space="0" w:color="auto"/>
            </w:tcBorders>
            <w:hideMark/>
          </w:tcPr>
          <w:p w14:paraId="7BAA8C4B" w14:textId="77777777" w:rsidR="00C934DA" w:rsidRPr="00BE78B0" w:rsidRDefault="00C934DA" w:rsidP="00D35473">
            <w:pPr>
              <w:pStyle w:val="TAN"/>
              <w:rPr>
                <w:lang w:eastAsia="zh-CN"/>
              </w:rPr>
            </w:pPr>
            <w:r w:rsidRPr="00BE78B0">
              <w:t xml:space="preserve">Note: </w:t>
            </w:r>
            <w:r w:rsidRPr="00BE78B0">
              <w:tab/>
            </w:r>
            <w:r w:rsidRPr="00BE78B0">
              <w:rPr>
                <w:lang w:eastAsia="zh-CN"/>
              </w:rPr>
              <w:t>T</w:t>
            </w:r>
            <w:r w:rsidRPr="00BE78B0">
              <w:rPr>
                <w:vertAlign w:val="subscript"/>
                <w:lang w:eastAsia="zh-CN"/>
              </w:rPr>
              <w:t>SMTC_duration</w:t>
            </w:r>
            <w:r w:rsidRPr="00BE78B0">
              <w:rPr>
                <w:lang w:eastAsia="zh-CN"/>
              </w:rPr>
              <w:t xml:space="preserve"> is</w:t>
            </w:r>
          </w:p>
          <w:p w14:paraId="58D50E82" w14:textId="77777777" w:rsidR="00C934DA" w:rsidRPr="00BE78B0" w:rsidRDefault="00C934DA" w:rsidP="00D35473">
            <w:pPr>
              <w:pStyle w:val="TAN"/>
            </w:pPr>
            <w:r w:rsidRPr="00BE78B0">
              <w:tab/>
              <w:t xml:space="preserve">- the longest SMTC duration </w:t>
            </w:r>
            <w:r w:rsidRPr="00BE78B0">
              <w:rPr>
                <w:lang w:eastAsia="zh-CN"/>
              </w:rPr>
              <w:t xml:space="preserve">among all above </w:t>
            </w:r>
            <w:r w:rsidRPr="00BE78B0">
              <w:t xml:space="preserve">active </w:t>
            </w:r>
            <w:r w:rsidRPr="00BE78B0">
              <w:rPr>
                <w:lang w:eastAsia="zh-CN"/>
              </w:rPr>
              <w:t>serving cells</w:t>
            </w:r>
            <w:r w:rsidRPr="00BE78B0">
              <w:t xml:space="preserve"> and the SCell being added when one SCell is added;</w:t>
            </w:r>
          </w:p>
          <w:p w14:paraId="009A7569" w14:textId="77777777" w:rsidR="00C934DA" w:rsidRPr="00BE78B0" w:rsidRDefault="00C934DA" w:rsidP="00D35473">
            <w:pPr>
              <w:pStyle w:val="TAN"/>
            </w:pPr>
            <w:r w:rsidRPr="00BE78B0">
              <w:tab/>
              <w:t xml:space="preserve">- the longest SMTC duration </w:t>
            </w:r>
            <w:r w:rsidRPr="00BE78B0">
              <w:rPr>
                <w:lang w:eastAsia="zh-CN"/>
              </w:rPr>
              <w:t xml:space="preserve">among all </w:t>
            </w:r>
            <w:r w:rsidRPr="00BE78B0">
              <w:t xml:space="preserve">active </w:t>
            </w:r>
            <w:r w:rsidRPr="00BE78B0">
              <w:rPr>
                <w:lang w:eastAsia="zh-CN"/>
              </w:rPr>
              <w:t>serving cells</w:t>
            </w:r>
            <w:r w:rsidRPr="00BE78B0">
              <w:t xml:space="preserve"> in the same band when one SCell is released.  </w:t>
            </w:r>
          </w:p>
        </w:tc>
      </w:tr>
    </w:tbl>
    <w:p w14:paraId="78C23F22" w14:textId="77777777" w:rsidR="00C934DA" w:rsidRPr="00BE78B0" w:rsidRDefault="00C934DA" w:rsidP="00C934DA"/>
    <w:p w14:paraId="4EFCE261" w14:textId="77777777" w:rsidR="00C934DA" w:rsidRPr="00BE78B0" w:rsidRDefault="00C934DA" w:rsidP="00C934DA">
      <w:pPr>
        <w:keepNext/>
        <w:keepLines/>
        <w:spacing w:before="60"/>
        <w:jc w:val="center"/>
      </w:pPr>
      <w:r w:rsidRPr="00BE78B0">
        <w:rPr>
          <w:rFonts w:ascii="Arial" w:hAnsi="Arial"/>
          <w:b/>
        </w:rPr>
        <w:t>Table 8.2.4.2.1-2: Interruption duration for SCell addition/release for intra-band DC/CA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2890"/>
      </w:tblGrid>
      <w:tr w:rsidR="00C934DA" w:rsidRPr="00BE78B0" w14:paraId="3F0573D9" w14:textId="77777777" w:rsidTr="00D35473">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568573C9" w14:textId="77777777" w:rsidR="00C934DA" w:rsidRPr="00BE78B0" w:rsidRDefault="00C934DA" w:rsidP="00D35473">
            <w:pPr>
              <w:keepNext/>
              <w:keepLines/>
              <w:spacing w:after="0"/>
              <w:jc w:val="center"/>
            </w:pPr>
            <w:r w:rsidRPr="00BE78B0">
              <w:rPr>
                <w:rFonts w:ascii="Arial" w:hAnsi="Arial"/>
                <w:b/>
                <w:noProof/>
                <w:sz w:val="18"/>
                <w:lang w:val="en-US" w:eastAsia="zh-CN"/>
              </w:rPr>
              <w:drawing>
                <wp:inline distT="0" distB="0" distL="0" distR="0" wp14:anchorId="6EC19EA4" wp14:editId="14EFF583">
                  <wp:extent cx="142240" cy="160020"/>
                  <wp:effectExtent l="0" t="0" r="0" b="0"/>
                  <wp:docPr id="6" name="图片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58B7C9F9" w14:textId="77777777" w:rsidR="00C934DA" w:rsidRPr="00BE78B0" w:rsidRDefault="00C934DA" w:rsidP="00D35473">
            <w:pPr>
              <w:keepNext/>
              <w:keepLines/>
              <w:spacing w:after="0"/>
              <w:jc w:val="center"/>
            </w:pPr>
            <w:r w:rsidRPr="00BE78B0">
              <w:rPr>
                <w:rFonts w:ascii="Arial" w:hAnsi="Arial"/>
                <w:b/>
                <w:sz w:val="18"/>
              </w:rPr>
              <w:t>NR Slot length (ms)</w:t>
            </w:r>
          </w:p>
        </w:tc>
        <w:tc>
          <w:tcPr>
            <w:tcW w:w="2890" w:type="dxa"/>
            <w:tcBorders>
              <w:top w:val="single" w:sz="4" w:space="0" w:color="auto"/>
              <w:left w:val="single" w:sz="4" w:space="0" w:color="auto"/>
              <w:bottom w:val="single" w:sz="4" w:space="0" w:color="auto"/>
              <w:right w:val="single" w:sz="4" w:space="0" w:color="auto"/>
            </w:tcBorders>
            <w:hideMark/>
          </w:tcPr>
          <w:p w14:paraId="1DCC3B23" w14:textId="77777777" w:rsidR="00C934DA" w:rsidRPr="00BE78B0" w:rsidRDefault="00C934DA" w:rsidP="00D35473">
            <w:pPr>
              <w:keepNext/>
              <w:keepLines/>
              <w:spacing w:after="0"/>
              <w:jc w:val="center"/>
            </w:pPr>
            <w:r w:rsidRPr="00BE78B0">
              <w:rPr>
                <w:rFonts w:ascii="Arial" w:hAnsi="Arial"/>
                <w:b/>
                <w:sz w:val="18"/>
              </w:rPr>
              <w:t>Interruption length (slot)</w:t>
            </w:r>
          </w:p>
        </w:tc>
      </w:tr>
      <w:tr w:rsidR="00C934DA" w:rsidRPr="00BE78B0" w14:paraId="06E4D996" w14:textId="77777777" w:rsidTr="00D35473">
        <w:trPr>
          <w:jc w:val="center"/>
        </w:trPr>
        <w:tc>
          <w:tcPr>
            <w:tcW w:w="649" w:type="dxa"/>
            <w:tcBorders>
              <w:top w:val="single" w:sz="4" w:space="0" w:color="auto"/>
              <w:left w:val="single" w:sz="4" w:space="0" w:color="auto"/>
              <w:bottom w:val="single" w:sz="4" w:space="0" w:color="auto"/>
              <w:right w:val="single" w:sz="4" w:space="0" w:color="auto"/>
            </w:tcBorders>
            <w:hideMark/>
          </w:tcPr>
          <w:p w14:paraId="4F3A2645" w14:textId="77777777" w:rsidR="00C934DA" w:rsidRPr="00BE78B0" w:rsidRDefault="00C934DA" w:rsidP="00D35473">
            <w:pPr>
              <w:pStyle w:val="TAC"/>
            </w:pPr>
            <w:r w:rsidRPr="00BE78B0">
              <w:t>0</w:t>
            </w:r>
          </w:p>
        </w:tc>
        <w:tc>
          <w:tcPr>
            <w:tcW w:w="992" w:type="dxa"/>
            <w:tcBorders>
              <w:top w:val="single" w:sz="4" w:space="0" w:color="auto"/>
              <w:left w:val="single" w:sz="4" w:space="0" w:color="auto"/>
              <w:bottom w:val="single" w:sz="4" w:space="0" w:color="auto"/>
              <w:right w:val="single" w:sz="4" w:space="0" w:color="auto"/>
            </w:tcBorders>
            <w:hideMark/>
          </w:tcPr>
          <w:p w14:paraId="04DB0820" w14:textId="77777777" w:rsidR="00C934DA" w:rsidRPr="00BE78B0" w:rsidRDefault="00C934DA" w:rsidP="00D35473">
            <w:pPr>
              <w:pStyle w:val="TAC"/>
            </w:pPr>
            <w:r w:rsidRPr="00BE78B0">
              <w:t>1</w:t>
            </w:r>
          </w:p>
        </w:tc>
        <w:tc>
          <w:tcPr>
            <w:tcW w:w="2890" w:type="dxa"/>
            <w:tcBorders>
              <w:top w:val="single" w:sz="4" w:space="0" w:color="auto"/>
              <w:left w:val="single" w:sz="4" w:space="0" w:color="auto"/>
              <w:bottom w:val="single" w:sz="4" w:space="0" w:color="auto"/>
              <w:right w:val="single" w:sz="4" w:space="0" w:color="auto"/>
            </w:tcBorders>
            <w:hideMark/>
          </w:tcPr>
          <w:p w14:paraId="61D36C0B" w14:textId="77777777" w:rsidR="00C934DA" w:rsidRPr="00BE78B0" w:rsidRDefault="00C934DA" w:rsidP="00D35473">
            <w:pPr>
              <w:pStyle w:val="TAC"/>
              <w:rPr>
                <w:rFonts w:cs="Arial"/>
                <w:szCs w:val="18"/>
              </w:rPr>
            </w:pPr>
            <w:r w:rsidRPr="00BE78B0">
              <w:rPr>
                <w:rFonts w:cs="Arial"/>
                <w:szCs w:val="18"/>
              </w:rPr>
              <w:t xml:space="preserve">1 + </w:t>
            </w:r>
            <w:r w:rsidRPr="00BE78B0">
              <w:rPr>
                <w:rFonts w:cs="Arial"/>
                <w:szCs w:val="18"/>
                <w:lang w:eastAsia="zh-CN"/>
              </w:rPr>
              <w:t>T</w:t>
            </w:r>
            <w:r w:rsidRPr="00BE78B0">
              <w:rPr>
                <w:rFonts w:cs="Arial"/>
                <w:szCs w:val="18"/>
                <w:vertAlign w:val="subscript"/>
                <w:lang w:eastAsia="zh-CN"/>
              </w:rPr>
              <w:t>SMTC_duration</w:t>
            </w:r>
            <w:r w:rsidRPr="00BE78B0">
              <w:rPr>
                <w:rFonts w:cs="Arial"/>
                <w:szCs w:val="18"/>
              </w:rPr>
              <w:t xml:space="preserve"> </w:t>
            </w:r>
          </w:p>
        </w:tc>
      </w:tr>
      <w:tr w:rsidR="00C934DA" w:rsidRPr="00BE78B0" w14:paraId="05D2BFFB" w14:textId="77777777" w:rsidTr="00D35473">
        <w:trPr>
          <w:jc w:val="center"/>
        </w:trPr>
        <w:tc>
          <w:tcPr>
            <w:tcW w:w="649" w:type="dxa"/>
            <w:tcBorders>
              <w:top w:val="single" w:sz="4" w:space="0" w:color="auto"/>
              <w:left w:val="single" w:sz="4" w:space="0" w:color="auto"/>
              <w:bottom w:val="single" w:sz="4" w:space="0" w:color="auto"/>
              <w:right w:val="single" w:sz="4" w:space="0" w:color="auto"/>
            </w:tcBorders>
            <w:hideMark/>
          </w:tcPr>
          <w:p w14:paraId="147BFF13" w14:textId="77777777" w:rsidR="00C934DA" w:rsidRPr="00BE78B0" w:rsidRDefault="00C934DA" w:rsidP="00D35473">
            <w:pPr>
              <w:pStyle w:val="TAC"/>
            </w:pPr>
            <w:r w:rsidRPr="00BE78B0">
              <w:t>1</w:t>
            </w:r>
          </w:p>
        </w:tc>
        <w:tc>
          <w:tcPr>
            <w:tcW w:w="992" w:type="dxa"/>
            <w:tcBorders>
              <w:top w:val="single" w:sz="4" w:space="0" w:color="auto"/>
              <w:left w:val="single" w:sz="4" w:space="0" w:color="auto"/>
              <w:bottom w:val="single" w:sz="4" w:space="0" w:color="auto"/>
              <w:right w:val="single" w:sz="4" w:space="0" w:color="auto"/>
            </w:tcBorders>
            <w:hideMark/>
          </w:tcPr>
          <w:p w14:paraId="73F53C7D" w14:textId="77777777" w:rsidR="00C934DA" w:rsidRPr="00BE78B0" w:rsidRDefault="00C934DA" w:rsidP="00D35473">
            <w:pPr>
              <w:pStyle w:val="TAC"/>
            </w:pPr>
            <w:r w:rsidRPr="00BE78B0">
              <w:t>0.5</w:t>
            </w:r>
          </w:p>
        </w:tc>
        <w:tc>
          <w:tcPr>
            <w:tcW w:w="2890" w:type="dxa"/>
            <w:tcBorders>
              <w:top w:val="single" w:sz="4" w:space="0" w:color="auto"/>
              <w:left w:val="single" w:sz="4" w:space="0" w:color="auto"/>
              <w:bottom w:val="single" w:sz="4" w:space="0" w:color="auto"/>
              <w:right w:val="single" w:sz="4" w:space="0" w:color="auto"/>
            </w:tcBorders>
            <w:hideMark/>
          </w:tcPr>
          <w:p w14:paraId="221E7748" w14:textId="77777777" w:rsidR="00C934DA" w:rsidRPr="00BE78B0" w:rsidRDefault="00C934DA" w:rsidP="00D35473">
            <w:pPr>
              <w:pStyle w:val="TAC"/>
              <w:rPr>
                <w:rFonts w:cs="Arial"/>
                <w:szCs w:val="18"/>
              </w:rPr>
            </w:pPr>
            <w:r w:rsidRPr="00BE78B0">
              <w:rPr>
                <w:rFonts w:cs="Arial"/>
                <w:szCs w:val="18"/>
              </w:rPr>
              <w:t xml:space="preserve">2 + </w:t>
            </w:r>
            <w:r w:rsidRPr="00BE78B0">
              <w:rPr>
                <w:rFonts w:cs="Arial"/>
                <w:szCs w:val="18"/>
                <w:lang w:eastAsia="zh-CN"/>
              </w:rPr>
              <w:t>T</w:t>
            </w:r>
            <w:r w:rsidRPr="00BE78B0">
              <w:rPr>
                <w:rFonts w:cs="Arial"/>
                <w:szCs w:val="18"/>
                <w:vertAlign w:val="subscript"/>
                <w:lang w:eastAsia="zh-CN"/>
              </w:rPr>
              <w:t>SMTC_duration</w:t>
            </w:r>
            <w:r w:rsidRPr="00BE78B0">
              <w:rPr>
                <w:rFonts w:cs="Arial"/>
                <w:szCs w:val="18"/>
              </w:rPr>
              <w:t xml:space="preserve"> </w:t>
            </w:r>
          </w:p>
        </w:tc>
      </w:tr>
      <w:tr w:rsidR="00C934DA" w:rsidRPr="00BE78B0" w14:paraId="4878B69E" w14:textId="77777777" w:rsidTr="00D35473">
        <w:trPr>
          <w:jc w:val="center"/>
        </w:trPr>
        <w:tc>
          <w:tcPr>
            <w:tcW w:w="649" w:type="dxa"/>
            <w:tcBorders>
              <w:top w:val="single" w:sz="4" w:space="0" w:color="auto"/>
              <w:left w:val="single" w:sz="4" w:space="0" w:color="auto"/>
              <w:bottom w:val="single" w:sz="4" w:space="0" w:color="auto"/>
              <w:right w:val="single" w:sz="4" w:space="0" w:color="auto"/>
            </w:tcBorders>
            <w:hideMark/>
          </w:tcPr>
          <w:p w14:paraId="011BA3DB" w14:textId="77777777" w:rsidR="00C934DA" w:rsidRPr="00BE78B0" w:rsidRDefault="00C934DA" w:rsidP="00D35473">
            <w:pPr>
              <w:pStyle w:val="TAC"/>
            </w:pPr>
            <w:r w:rsidRPr="00BE78B0">
              <w:t>2</w:t>
            </w:r>
          </w:p>
        </w:tc>
        <w:tc>
          <w:tcPr>
            <w:tcW w:w="992" w:type="dxa"/>
            <w:tcBorders>
              <w:top w:val="single" w:sz="4" w:space="0" w:color="auto"/>
              <w:left w:val="single" w:sz="4" w:space="0" w:color="auto"/>
              <w:bottom w:val="single" w:sz="4" w:space="0" w:color="auto"/>
              <w:right w:val="single" w:sz="4" w:space="0" w:color="auto"/>
            </w:tcBorders>
            <w:hideMark/>
          </w:tcPr>
          <w:p w14:paraId="1C69A75B" w14:textId="77777777" w:rsidR="00C934DA" w:rsidRPr="00BE78B0" w:rsidRDefault="00C934DA" w:rsidP="00D35473">
            <w:pPr>
              <w:pStyle w:val="TAC"/>
            </w:pPr>
            <w:r w:rsidRPr="00BE78B0">
              <w:t>0.25</w:t>
            </w:r>
          </w:p>
        </w:tc>
        <w:tc>
          <w:tcPr>
            <w:tcW w:w="2890" w:type="dxa"/>
            <w:tcBorders>
              <w:top w:val="single" w:sz="4" w:space="0" w:color="auto"/>
              <w:left w:val="single" w:sz="4" w:space="0" w:color="auto"/>
              <w:bottom w:val="single" w:sz="4" w:space="0" w:color="auto"/>
              <w:right w:val="single" w:sz="4" w:space="0" w:color="auto"/>
            </w:tcBorders>
            <w:hideMark/>
          </w:tcPr>
          <w:p w14:paraId="1C461AA4" w14:textId="77777777" w:rsidR="00C934DA" w:rsidRPr="00BE78B0" w:rsidRDefault="00C934DA" w:rsidP="00D35473">
            <w:pPr>
              <w:pStyle w:val="TAC"/>
              <w:rPr>
                <w:rFonts w:cs="Arial"/>
                <w:szCs w:val="18"/>
              </w:rPr>
            </w:pPr>
            <w:r w:rsidRPr="00BE78B0">
              <w:rPr>
                <w:rFonts w:cs="Arial"/>
                <w:szCs w:val="18"/>
              </w:rPr>
              <w:t xml:space="preserve">4 + </w:t>
            </w:r>
            <w:r w:rsidRPr="00BE78B0">
              <w:rPr>
                <w:rFonts w:cs="Arial"/>
                <w:szCs w:val="18"/>
                <w:lang w:eastAsia="zh-CN"/>
              </w:rPr>
              <w:t>T</w:t>
            </w:r>
            <w:r w:rsidRPr="00BE78B0">
              <w:rPr>
                <w:rFonts w:cs="Arial"/>
                <w:szCs w:val="18"/>
                <w:vertAlign w:val="subscript"/>
                <w:lang w:eastAsia="zh-CN"/>
              </w:rPr>
              <w:t>SMTC_duration</w:t>
            </w:r>
            <w:r w:rsidRPr="00BE78B0">
              <w:rPr>
                <w:rFonts w:cs="Arial"/>
                <w:szCs w:val="18"/>
              </w:rPr>
              <w:t xml:space="preserve"> </w:t>
            </w:r>
          </w:p>
        </w:tc>
      </w:tr>
      <w:tr w:rsidR="00C934DA" w:rsidRPr="00BE78B0" w14:paraId="478978B1" w14:textId="77777777" w:rsidTr="00D35473">
        <w:trPr>
          <w:jc w:val="center"/>
        </w:trPr>
        <w:tc>
          <w:tcPr>
            <w:tcW w:w="649" w:type="dxa"/>
            <w:tcBorders>
              <w:top w:val="single" w:sz="4" w:space="0" w:color="auto"/>
              <w:left w:val="single" w:sz="4" w:space="0" w:color="auto"/>
              <w:bottom w:val="single" w:sz="4" w:space="0" w:color="auto"/>
              <w:right w:val="single" w:sz="4" w:space="0" w:color="auto"/>
            </w:tcBorders>
            <w:hideMark/>
          </w:tcPr>
          <w:p w14:paraId="5A02B3F6" w14:textId="77777777" w:rsidR="00C934DA" w:rsidRPr="00BE78B0" w:rsidRDefault="00C934DA" w:rsidP="00D35473">
            <w:pPr>
              <w:pStyle w:val="TAC"/>
            </w:pPr>
            <w:r w:rsidRPr="00BE78B0">
              <w:t>3</w:t>
            </w:r>
          </w:p>
        </w:tc>
        <w:tc>
          <w:tcPr>
            <w:tcW w:w="992" w:type="dxa"/>
            <w:tcBorders>
              <w:top w:val="single" w:sz="4" w:space="0" w:color="auto"/>
              <w:left w:val="single" w:sz="4" w:space="0" w:color="auto"/>
              <w:bottom w:val="single" w:sz="4" w:space="0" w:color="auto"/>
              <w:right w:val="single" w:sz="4" w:space="0" w:color="auto"/>
            </w:tcBorders>
            <w:hideMark/>
          </w:tcPr>
          <w:p w14:paraId="34BEBD62" w14:textId="77777777" w:rsidR="00C934DA" w:rsidRPr="00BE78B0" w:rsidRDefault="00C934DA" w:rsidP="00D35473">
            <w:pPr>
              <w:pStyle w:val="TAC"/>
            </w:pPr>
            <w:r w:rsidRPr="00BE78B0">
              <w:t>0.125</w:t>
            </w:r>
          </w:p>
        </w:tc>
        <w:tc>
          <w:tcPr>
            <w:tcW w:w="2890" w:type="dxa"/>
            <w:tcBorders>
              <w:top w:val="single" w:sz="4" w:space="0" w:color="auto"/>
              <w:left w:val="single" w:sz="4" w:space="0" w:color="auto"/>
              <w:bottom w:val="single" w:sz="4" w:space="0" w:color="auto"/>
              <w:right w:val="single" w:sz="4" w:space="0" w:color="auto"/>
            </w:tcBorders>
            <w:hideMark/>
          </w:tcPr>
          <w:p w14:paraId="14742A5A" w14:textId="77777777" w:rsidR="00C934DA" w:rsidRPr="00BE78B0" w:rsidRDefault="00C934DA" w:rsidP="00D35473">
            <w:pPr>
              <w:pStyle w:val="TAC"/>
              <w:rPr>
                <w:rFonts w:cs="Arial"/>
                <w:szCs w:val="18"/>
              </w:rPr>
            </w:pPr>
            <w:r w:rsidRPr="00BE78B0">
              <w:rPr>
                <w:rFonts w:cs="Arial"/>
                <w:szCs w:val="18"/>
              </w:rPr>
              <w:t xml:space="preserve">8 + </w:t>
            </w:r>
            <w:r w:rsidRPr="00BE78B0">
              <w:rPr>
                <w:rFonts w:cs="Arial"/>
                <w:szCs w:val="18"/>
                <w:lang w:eastAsia="zh-CN"/>
              </w:rPr>
              <w:t>T</w:t>
            </w:r>
            <w:r w:rsidRPr="00BE78B0">
              <w:rPr>
                <w:rFonts w:cs="Arial"/>
                <w:szCs w:val="18"/>
                <w:vertAlign w:val="subscript"/>
                <w:lang w:eastAsia="zh-CN"/>
              </w:rPr>
              <w:t>SMTC_duration</w:t>
            </w:r>
            <w:r w:rsidRPr="00BE78B0">
              <w:rPr>
                <w:rFonts w:cs="Arial"/>
                <w:szCs w:val="18"/>
              </w:rPr>
              <w:t xml:space="preserve"> </w:t>
            </w:r>
          </w:p>
        </w:tc>
      </w:tr>
      <w:tr w:rsidR="00C934DA" w:rsidRPr="00BE78B0" w14:paraId="10A369CD" w14:textId="77777777" w:rsidTr="00D35473">
        <w:trPr>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7FE7E867" w14:textId="77777777" w:rsidR="00C934DA" w:rsidRPr="00BE78B0" w:rsidRDefault="00C934DA" w:rsidP="00D35473">
            <w:pPr>
              <w:pStyle w:val="TAN"/>
              <w:rPr>
                <w:lang w:eastAsia="zh-CN"/>
              </w:rPr>
            </w:pPr>
            <w:r w:rsidRPr="00BE78B0">
              <w:t xml:space="preserve">Note: </w:t>
            </w:r>
            <w:r w:rsidRPr="00BE78B0">
              <w:tab/>
            </w:r>
            <w:r w:rsidRPr="00BE78B0">
              <w:rPr>
                <w:lang w:eastAsia="zh-CN"/>
              </w:rPr>
              <w:t>T</w:t>
            </w:r>
            <w:r w:rsidRPr="00BE78B0">
              <w:rPr>
                <w:vertAlign w:val="subscript"/>
                <w:lang w:eastAsia="zh-CN"/>
              </w:rPr>
              <w:t>SMTC_duration</w:t>
            </w:r>
            <w:r w:rsidRPr="00BE78B0">
              <w:rPr>
                <w:lang w:eastAsia="zh-CN"/>
              </w:rPr>
              <w:t xml:space="preserve"> is</w:t>
            </w:r>
          </w:p>
          <w:p w14:paraId="7ECBA9E8" w14:textId="77777777" w:rsidR="00C934DA" w:rsidRPr="00BE78B0" w:rsidRDefault="00C934DA" w:rsidP="00D35473">
            <w:pPr>
              <w:pStyle w:val="TAN"/>
            </w:pPr>
            <w:r w:rsidRPr="00BE78B0">
              <w:tab/>
              <w:t xml:space="preserve">- the longest SMTC duration </w:t>
            </w:r>
            <w:r w:rsidRPr="00BE78B0">
              <w:rPr>
                <w:lang w:eastAsia="zh-CN"/>
              </w:rPr>
              <w:t xml:space="preserve">among all above </w:t>
            </w:r>
            <w:r w:rsidRPr="00BE78B0">
              <w:t>active</w:t>
            </w:r>
            <w:r w:rsidRPr="00BE78B0">
              <w:rPr>
                <w:lang w:eastAsia="zh-CN"/>
              </w:rPr>
              <w:t>serving cells</w:t>
            </w:r>
            <w:r w:rsidRPr="00BE78B0">
              <w:t xml:space="preserve"> and the SCell being added when one SCell is added;</w:t>
            </w:r>
          </w:p>
          <w:p w14:paraId="66421819" w14:textId="77777777" w:rsidR="00C934DA" w:rsidRPr="00BE78B0" w:rsidRDefault="00C934DA" w:rsidP="00D35473">
            <w:pPr>
              <w:pStyle w:val="TAN"/>
            </w:pPr>
            <w:r w:rsidRPr="00BE78B0">
              <w:tab/>
              <w:t xml:space="preserve">- the longest SMTC duration </w:t>
            </w:r>
            <w:r w:rsidRPr="00BE78B0">
              <w:rPr>
                <w:lang w:eastAsia="zh-CN"/>
              </w:rPr>
              <w:t xml:space="preserve">among all </w:t>
            </w:r>
            <w:r w:rsidRPr="00BE78B0">
              <w:t xml:space="preserve">active </w:t>
            </w:r>
            <w:r w:rsidRPr="00BE78B0">
              <w:rPr>
                <w:lang w:eastAsia="zh-CN"/>
              </w:rPr>
              <w:t>serving cells</w:t>
            </w:r>
            <w:r w:rsidRPr="00BE78B0">
              <w:t xml:space="preserve"> in the same band when one SCell is released.  </w:t>
            </w:r>
          </w:p>
        </w:tc>
      </w:tr>
    </w:tbl>
    <w:p w14:paraId="681E9478" w14:textId="77777777" w:rsidR="00C934DA" w:rsidRDefault="00C934DA" w:rsidP="00C934DA">
      <w:pPr>
        <w:rPr>
          <w:lang w:val="en-US"/>
        </w:rPr>
      </w:pPr>
    </w:p>
    <w:p w14:paraId="7832A5DE" w14:textId="1206C673" w:rsidR="00C934DA" w:rsidRPr="000B2291" w:rsidRDefault="00C934DA" w:rsidP="00C934DA">
      <w:pPr>
        <w:rPr>
          <w:b/>
          <w:bCs/>
          <w:lang w:val="en-US"/>
        </w:rPr>
      </w:pPr>
      <w:r w:rsidRPr="000B2291">
        <w:rPr>
          <w:b/>
          <w:bCs/>
          <w:lang w:val="en-US"/>
        </w:rPr>
        <w:t xml:space="preserve">Observation </w:t>
      </w:r>
      <w:r>
        <w:rPr>
          <w:b/>
          <w:bCs/>
          <w:lang w:val="en-US"/>
        </w:rPr>
        <w:t>5</w:t>
      </w:r>
      <w:r w:rsidRPr="000B2291">
        <w:rPr>
          <w:b/>
          <w:bCs/>
          <w:lang w:val="en-US"/>
        </w:rPr>
        <w:t>. Existing requirements in TS 3</w:t>
      </w:r>
      <w:r>
        <w:rPr>
          <w:b/>
          <w:bCs/>
          <w:lang w:val="en-US"/>
        </w:rPr>
        <w:t>8</w:t>
      </w:r>
      <w:r w:rsidRPr="000B2291">
        <w:rPr>
          <w:b/>
          <w:bCs/>
          <w:lang w:val="en-US"/>
        </w:rPr>
        <w:t xml:space="preserve">.133 for </w:t>
      </w:r>
      <w:r>
        <w:rPr>
          <w:b/>
          <w:bCs/>
          <w:lang w:val="en-US"/>
        </w:rPr>
        <w:t>NR-DC PSCell/</w:t>
      </w:r>
      <w:r w:rsidRPr="000B2291">
        <w:rPr>
          <w:b/>
          <w:bCs/>
          <w:lang w:val="en-US"/>
        </w:rPr>
        <w:t xml:space="preserve">SCell add/release in intra-band and inter-band can be used for inter-frequency HO interruptions. </w:t>
      </w:r>
    </w:p>
    <w:p w14:paraId="4A123387" w14:textId="600F98C2" w:rsidR="00C934DA" w:rsidRPr="00840031" w:rsidRDefault="00C934DA" w:rsidP="00C934DA">
      <w:pPr>
        <w:rPr>
          <w:b/>
          <w:bCs/>
          <w:lang w:val="en-US"/>
        </w:rPr>
      </w:pPr>
      <w:r w:rsidRPr="00840031">
        <w:rPr>
          <w:b/>
          <w:bCs/>
          <w:lang w:val="en-US"/>
        </w:rPr>
        <w:t xml:space="preserve">Proposal </w:t>
      </w:r>
      <w:r>
        <w:rPr>
          <w:b/>
          <w:bCs/>
          <w:lang w:val="en-US"/>
        </w:rPr>
        <w:t>7</w:t>
      </w:r>
      <w:r w:rsidRPr="00840031">
        <w:rPr>
          <w:b/>
          <w:bCs/>
          <w:lang w:val="en-US"/>
        </w:rPr>
        <w:t xml:space="preserve">. In intra-band inter-frequency </w:t>
      </w:r>
      <w:r>
        <w:rPr>
          <w:b/>
          <w:bCs/>
          <w:lang w:val="en-US"/>
        </w:rPr>
        <w:t xml:space="preserve">synchronous </w:t>
      </w:r>
      <w:r w:rsidRPr="00840031">
        <w:rPr>
          <w:b/>
          <w:bCs/>
          <w:lang w:val="en-US"/>
        </w:rPr>
        <w:t>scenario:</w:t>
      </w:r>
    </w:p>
    <w:p w14:paraId="374FA1E1" w14:textId="77777777" w:rsidR="00C934DA" w:rsidRPr="00257B69" w:rsidRDefault="00C934DA" w:rsidP="00C934DA">
      <w:pPr>
        <w:pStyle w:val="ListParagraph"/>
        <w:numPr>
          <w:ilvl w:val="0"/>
          <w:numId w:val="45"/>
        </w:numPr>
        <w:rPr>
          <w:b/>
          <w:bCs/>
          <w:sz w:val="20"/>
          <w:szCs w:val="20"/>
        </w:rPr>
      </w:pPr>
      <w:r w:rsidRPr="00257B69">
        <w:rPr>
          <w:b/>
          <w:bCs/>
          <w:sz w:val="20"/>
          <w:szCs w:val="20"/>
        </w:rPr>
        <w:t xml:space="preserve">Source cell experiences an interruption when target cell is added following HO command. The interruption is on both DL and UL and its length is proposed to be </w:t>
      </w:r>
      <w:r>
        <w:rPr>
          <w:b/>
          <w:bCs/>
          <w:sz w:val="20"/>
          <w:szCs w:val="20"/>
        </w:rPr>
        <w:t>as defined in Table 8.2.4.2.1-2 of TS 38.133</w:t>
      </w:r>
      <w:r w:rsidRPr="00257B69">
        <w:rPr>
          <w:b/>
          <w:bCs/>
          <w:sz w:val="20"/>
          <w:szCs w:val="20"/>
        </w:rPr>
        <w:t>.</w:t>
      </w:r>
    </w:p>
    <w:p w14:paraId="0501F46E" w14:textId="77777777" w:rsidR="00C934DA" w:rsidRPr="00840031" w:rsidRDefault="00C934DA" w:rsidP="00C934DA">
      <w:pPr>
        <w:pStyle w:val="ListParagraph"/>
        <w:numPr>
          <w:ilvl w:val="0"/>
          <w:numId w:val="45"/>
        </w:numPr>
        <w:rPr>
          <w:b/>
          <w:bCs/>
          <w:sz w:val="20"/>
          <w:szCs w:val="20"/>
        </w:rPr>
      </w:pPr>
      <w:r w:rsidRPr="00840031">
        <w:rPr>
          <w:b/>
          <w:bCs/>
          <w:sz w:val="20"/>
          <w:szCs w:val="20"/>
        </w:rPr>
        <w:t>Target cell experiences an interruption when source cell is released following</w:t>
      </w:r>
      <w:r>
        <w:rPr>
          <w:b/>
          <w:bCs/>
          <w:sz w:val="20"/>
          <w:szCs w:val="20"/>
        </w:rPr>
        <w:t xml:space="preserve"> HO completion</w:t>
      </w:r>
      <w:r w:rsidRPr="00840031">
        <w:rPr>
          <w:b/>
          <w:bCs/>
          <w:sz w:val="20"/>
          <w:szCs w:val="20"/>
        </w:rPr>
        <w:t xml:space="preserve">. The interruption is on both DL and UL and its length is proposed to be </w:t>
      </w:r>
      <w:r>
        <w:rPr>
          <w:b/>
          <w:bCs/>
          <w:sz w:val="20"/>
          <w:szCs w:val="20"/>
        </w:rPr>
        <w:t>as defined in Table 8.2.4.2.1-2 of TS 38.133</w:t>
      </w:r>
      <w:r w:rsidRPr="00840031">
        <w:rPr>
          <w:b/>
          <w:bCs/>
          <w:sz w:val="20"/>
          <w:szCs w:val="20"/>
        </w:rPr>
        <w:t>.</w:t>
      </w:r>
    </w:p>
    <w:p w14:paraId="370AE293" w14:textId="77777777" w:rsidR="00C934DA" w:rsidRDefault="00C934DA" w:rsidP="00C934DA">
      <w:pPr>
        <w:rPr>
          <w:b/>
          <w:bCs/>
          <w:lang w:val="en-US"/>
        </w:rPr>
      </w:pPr>
    </w:p>
    <w:p w14:paraId="37A2E73D" w14:textId="006C2D92" w:rsidR="00C934DA" w:rsidRPr="00840031" w:rsidRDefault="00C934DA" w:rsidP="00C934DA">
      <w:pPr>
        <w:rPr>
          <w:b/>
          <w:bCs/>
          <w:lang w:val="en-US"/>
        </w:rPr>
      </w:pPr>
      <w:r w:rsidRPr="00840031">
        <w:rPr>
          <w:b/>
          <w:bCs/>
          <w:lang w:val="en-US"/>
        </w:rPr>
        <w:t xml:space="preserve">Proposal </w:t>
      </w:r>
      <w:r>
        <w:rPr>
          <w:b/>
          <w:bCs/>
          <w:lang w:val="en-US"/>
        </w:rPr>
        <w:t>8</w:t>
      </w:r>
      <w:r w:rsidRPr="00840031">
        <w:rPr>
          <w:b/>
          <w:bCs/>
          <w:lang w:val="en-US"/>
        </w:rPr>
        <w:t>. In int</w:t>
      </w:r>
      <w:r>
        <w:rPr>
          <w:b/>
          <w:bCs/>
          <w:lang w:val="en-US"/>
        </w:rPr>
        <w:t>er</w:t>
      </w:r>
      <w:r w:rsidRPr="00840031">
        <w:rPr>
          <w:b/>
          <w:bCs/>
          <w:lang w:val="en-US"/>
        </w:rPr>
        <w:t>-band inter-frequency scenario:</w:t>
      </w:r>
    </w:p>
    <w:p w14:paraId="7F8DCDB9" w14:textId="77777777" w:rsidR="00C934DA" w:rsidRPr="00840031" w:rsidRDefault="00C934DA" w:rsidP="00C934DA">
      <w:pPr>
        <w:pStyle w:val="ListParagraph"/>
        <w:numPr>
          <w:ilvl w:val="0"/>
          <w:numId w:val="45"/>
        </w:numPr>
        <w:rPr>
          <w:b/>
          <w:bCs/>
          <w:sz w:val="20"/>
          <w:szCs w:val="20"/>
        </w:rPr>
      </w:pPr>
      <w:r w:rsidRPr="00840031">
        <w:rPr>
          <w:b/>
          <w:bCs/>
          <w:sz w:val="20"/>
          <w:szCs w:val="20"/>
        </w:rPr>
        <w:t>Source cell experiences an interruption when target cell is added following HO command. The interruption is on both DL and UL and its length is proposed to be</w:t>
      </w:r>
      <w:r>
        <w:rPr>
          <w:b/>
          <w:bCs/>
          <w:sz w:val="20"/>
          <w:szCs w:val="20"/>
        </w:rPr>
        <w:t xml:space="preserve"> as defined in Table 8.2.4.2.1-1 of TS 38.133 in synchronous scenarios</w:t>
      </w:r>
      <w:r w:rsidRPr="00840031">
        <w:rPr>
          <w:b/>
          <w:bCs/>
          <w:sz w:val="20"/>
          <w:szCs w:val="20"/>
        </w:rPr>
        <w:t>.</w:t>
      </w:r>
      <w:r>
        <w:rPr>
          <w:b/>
          <w:bCs/>
          <w:sz w:val="20"/>
          <w:szCs w:val="20"/>
        </w:rPr>
        <w:t xml:space="preserve"> For asynchronous scenarios, the interruption length is proposed to be 1ms longer. </w:t>
      </w:r>
    </w:p>
    <w:p w14:paraId="7E1A25BE" w14:textId="77777777" w:rsidR="00C934DA" w:rsidRPr="00840031" w:rsidRDefault="00C934DA" w:rsidP="00C934DA">
      <w:pPr>
        <w:pStyle w:val="ListParagraph"/>
        <w:ind w:left="765"/>
        <w:rPr>
          <w:b/>
          <w:bCs/>
          <w:sz w:val="20"/>
          <w:szCs w:val="20"/>
        </w:rPr>
      </w:pPr>
    </w:p>
    <w:p w14:paraId="4C26EDD2" w14:textId="77777777" w:rsidR="00C934DA" w:rsidRPr="003A29FC" w:rsidRDefault="00C934DA" w:rsidP="00C934DA">
      <w:pPr>
        <w:pStyle w:val="ListParagraph"/>
        <w:numPr>
          <w:ilvl w:val="0"/>
          <w:numId w:val="45"/>
        </w:numPr>
        <w:rPr>
          <w:b/>
          <w:bCs/>
          <w:sz w:val="20"/>
          <w:szCs w:val="20"/>
        </w:rPr>
      </w:pPr>
      <w:r w:rsidRPr="00840031">
        <w:rPr>
          <w:b/>
          <w:bCs/>
          <w:sz w:val="20"/>
          <w:szCs w:val="20"/>
        </w:rPr>
        <w:t xml:space="preserve">Target cell experiences an interruption when source cell is released following </w:t>
      </w:r>
      <w:r>
        <w:rPr>
          <w:b/>
          <w:bCs/>
          <w:sz w:val="20"/>
          <w:szCs w:val="20"/>
        </w:rPr>
        <w:t>HO completion.</w:t>
      </w:r>
      <w:r w:rsidRPr="00840031">
        <w:rPr>
          <w:b/>
          <w:bCs/>
          <w:sz w:val="20"/>
          <w:szCs w:val="20"/>
        </w:rPr>
        <w:t xml:space="preserve"> The interruption is on both DL and UL and its length is proposed to be </w:t>
      </w:r>
      <w:r>
        <w:rPr>
          <w:b/>
          <w:bCs/>
          <w:sz w:val="20"/>
          <w:szCs w:val="20"/>
        </w:rPr>
        <w:t>as defined in Table 8.2.4.2.1-1 of TS 38.133 in synchronous scenarios</w:t>
      </w:r>
      <w:r w:rsidRPr="00840031">
        <w:rPr>
          <w:b/>
          <w:bCs/>
          <w:sz w:val="20"/>
          <w:szCs w:val="20"/>
        </w:rPr>
        <w:t>.</w:t>
      </w:r>
      <w:r>
        <w:rPr>
          <w:b/>
          <w:bCs/>
          <w:sz w:val="20"/>
          <w:szCs w:val="20"/>
        </w:rPr>
        <w:t xml:space="preserve"> For asynchronous scenarios, the interruption length is proposed to be 1ms longer. </w:t>
      </w:r>
    </w:p>
    <w:p w14:paraId="0C7E7E9D" w14:textId="77777777" w:rsidR="00C934DA" w:rsidRPr="0058472E" w:rsidRDefault="00C934DA" w:rsidP="00C934DA">
      <w:pPr>
        <w:rPr>
          <w:lang w:val="en-US"/>
        </w:rPr>
      </w:pPr>
    </w:p>
    <w:p w14:paraId="6BCC0108" w14:textId="24D54A9F" w:rsidR="00C934DA" w:rsidRPr="007520E5" w:rsidRDefault="00C934DA" w:rsidP="00C934DA">
      <w:pPr>
        <w:rPr>
          <w:b/>
          <w:bCs/>
        </w:rPr>
      </w:pPr>
      <w:r w:rsidRPr="007520E5">
        <w:rPr>
          <w:b/>
          <w:bCs/>
        </w:rPr>
        <w:lastRenderedPageBreak/>
        <w:t xml:space="preserve">Proposal </w:t>
      </w:r>
      <w:r>
        <w:rPr>
          <w:b/>
          <w:bCs/>
        </w:rPr>
        <w:t>9</w:t>
      </w:r>
      <w:r w:rsidRPr="007520E5">
        <w:rPr>
          <w:b/>
          <w:bCs/>
        </w:rPr>
        <w:t xml:space="preserve">. In intra-frequency scenarios with </w:t>
      </w:r>
      <w:r>
        <w:rPr>
          <w:b/>
          <w:bCs/>
        </w:rPr>
        <w:t>same</w:t>
      </w:r>
      <w:r w:rsidRPr="007520E5">
        <w:rPr>
          <w:b/>
          <w:bCs/>
        </w:rPr>
        <w:t xml:space="preserve"> BW</w:t>
      </w:r>
      <w:r>
        <w:rPr>
          <w:b/>
          <w:bCs/>
        </w:rPr>
        <w:t>P</w:t>
      </w:r>
      <w:r w:rsidRPr="007520E5">
        <w:rPr>
          <w:b/>
          <w:bCs/>
        </w:rPr>
        <w:t xml:space="preserve"> </w:t>
      </w:r>
      <w:r>
        <w:rPr>
          <w:b/>
          <w:bCs/>
        </w:rPr>
        <w:t xml:space="preserve">and system BW </w:t>
      </w:r>
      <w:r w:rsidRPr="007520E5">
        <w:rPr>
          <w:b/>
          <w:bCs/>
        </w:rPr>
        <w:t>between source and target cells</w:t>
      </w:r>
      <w:r>
        <w:rPr>
          <w:b/>
          <w:bCs/>
        </w:rPr>
        <w:t xml:space="preserve">, the </w:t>
      </w:r>
      <w:r w:rsidRPr="007520E5">
        <w:rPr>
          <w:b/>
          <w:bCs/>
        </w:rPr>
        <w:t xml:space="preserve">interruption time in both DL and UL </w:t>
      </w:r>
      <w:r>
        <w:rPr>
          <w:b/>
          <w:bCs/>
        </w:rPr>
        <w:t xml:space="preserve">for a 1-Tx capable UE </w:t>
      </w:r>
      <w:r w:rsidRPr="007520E5">
        <w:rPr>
          <w:b/>
          <w:bCs/>
        </w:rPr>
        <w:t>to be</w:t>
      </w:r>
      <w:r>
        <w:rPr>
          <w:b/>
          <w:bCs/>
        </w:rPr>
        <w:t xml:space="preserve"> according to Table 8.2.4.2.1-1 of TS 38.133 for synchronous scenarios and Table 8.2.4.2.1-1 of TS 38.133 plus 1ms for asynchronous scenarios when UE</w:t>
      </w:r>
      <w:r w:rsidRPr="007520E5">
        <w:rPr>
          <w:b/>
          <w:bCs/>
        </w:rPr>
        <w:t>:</w:t>
      </w:r>
    </w:p>
    <w:p w14:paraId="0C50925C" w14:textId="77777777" w:rsidR="00C934DA" w:rsidRPr="007520E5" w:rsidRDefault="00C934DA" w:rsidP="00C934DA">
      <w:pPr>
        <w:pStyle w:val="ListParagraph"/>
        <w:numPr>
          <w:ilvl w:val="0"/>
          <w:numId w:val="46"/>
        </w:numPr>
        <w:rPr>
          <w:b/>
          <w:bCs/>
          <w:sz w:val="20"/>
          <w:szCs w:val="20"/>
        </w:rPr>
      </w:pPr>
      <w:r>
        <w:rPr>
          <w:b/>
          <w:bCs/>
          <w:sz w:val="20"/>
          <w:szCs w:val="20"/>
        </w:rPr>
        <w:t>R</w:t>
      </w:r>
      <w:r w:rsidRPr="007520E5">
        <w:rPr>
          <w:b/>
          <w:bCs/>
          <w:sz w:val="20"/>
          <w:szCs w:val="20"/>
        </w:rPr>
        <w:t>eceives the HO command and adds the target cell</w:t>
      </w:r>
    </w:p>
    <w:p w14:paraId="0A0B900B" w14:textId="77777777" w:rsidR="00C934DA" w:rsidRDefault="00C934DA" w:rsidP="00C934DA">
      <w:pPr>
        <w:pStyle w:val="ListParagraph"/>
        <w:numPr>
          <w:ilvl w:val="0"/>
          <w:numId w:val="46"/>
        </w:numPr>
        <w:rPr>
          <w:b/>
          <w:bCs/>
          <w:sz w:val="20"/>
          <w:szCs w:val="20"/>
        </w:rPr>
      </w:pPr>
      <w:r>
        <w:rPr>
          <w:b/>
          <w:bCs/>
          <w:sz w:val="20"/>
          <w:szCs w:val="20"/>
        </w:rPr>
        <w:t>C</w:t>
      </w:r>
      <w:r w:rsidRPr="007520E5">
        <w:rPr>
          <w:b/>
          <w:bCs/>
          <w:sz w:val="20"/>
          <w:szCs w:val="20"/>
        </w:rPr>
        <w:t>ompletes the HO and releases the source cell</w:t>
      </w:r>
    </w:p>
    <w:p w14:paraId="78A1A772" w14:textId="77777777" w:rsidR="00C934DA" w:rsidRDefault="00C934DA" w:rsidP="00C934DA">
      <w:pPr>
        <w:pStyle w:val="ListParagraph"/>
        <w:ind w:left="825"/>
        <w:rPr>
          <w:b/>
          <w:bCs/>
          <w:sz w:val="20"/>
          <w:szCs w:val="20"/>
        </w:rPr>
      </w:pPr>
    </w:p>
    <w:p w14:paraId="6CA1BC1E" w14:textId="77777777" w:rsidR="00C934DA" w:rsidRPr="00BE78B0" w:rsidRDefault="00C934DA" w:rsidP="00C934DA">
      <w:pPr>
        <w:pStyle w:val="TH"/>
      </w:pPr>
      <w:r w:rsidRPr="00BE78B0">
        <w:t>Table 8.6.2-1: BWP switch delay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gridCol w:w="1969"/>
      </w:tblGrid>
      <w:tr w:rsidR="00C934DA" w:rsidRPr="00BE78B0" w14:paraId="7B8261CA" w14:textId="77777777" w:rsidTr="00D35473">
        <w:trPr>
          <w:trHeight w:val="305"/>
          <w:jc w:val="center"/>
        </w:trPr>
        <w:tc>
          <w:tcPr>
            <w:tcW w:w="649" w:type="dxa"/>
            <w:vMerge w:val="restart"/>
            <w:shd w:val="clear" w:color="auto" w:fill="auto"/>
            <w:vAlign w:val="center"/>
          </w:tcPr>
          <w:p w14:paraId="13BAC6E8" w14:textId="77777777" w:rsidR="00C934DA" w:rsidRPr="00BE78B0" w:rsidRDefault="00C934DA" w:rsidP="00D35473">
            <w:pPr>
              <w:pStyle w:val="TAH"/>
            </w:pPr>
            <w:r w:rsidRPr="00BE78B0">
              <w:rPr>
                <w:noProof/>
                <w:lang w:val="en-US" w:eastAsia="zh-CN"/>
              </w:rPr>
              <w:drawing>
                <wp:inline distT="0" distB="0" distL="0" distR="0" wp14:anchorId="54AA66D9" wp14:editId="28387EE1">
                  <wp:extent cx="142875" cy="161925"/>
                  <wp:effectExtent l="0" t="0" r="0" b="0"/>
                  <wp:docPr id="8"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42875" cy="161925"/>
                          </a:xfrm>
                          <a:prstGeom prst="rect">
                            <a:avLst/>
                          </a:prstGeom>
                          <a:noFill/>
                          <a:ln>
                            <a:noFill/>
                          </a:ln>
                        </pic:spPr>
                      </pic:pic>
                    </a:graphicData>
                  </a:graphic>
                </wp:inline>
              </w:drawing>
            </w:r>
          </w:p>
        </w:tc>
        <w:tc>
          <w:tcPr>
            <w:tcW w:w="992" w:type="dxa"/>
            <w:vMerge w:val="restart"/>
          </w:tcPr>
          <w:p w14:paraId="7F6D7D6E" w14:textId="77777777" w:rsidR="00C934DA" w:rsidRPr="00BE78B0" w:rsidRDefault="00C934DA" w:rsidP="00D35473">
            <w:pPr>
              <w:pStyle w:val="TAH"/>
            </w:pPr>
            <w:r w:rsidRPr="00BE78B0">
              <w:t>NR Slot length (ms)</w:t>
            </w:r>
          </w:p>
        </w:tc>
        <w:tc>
          <w:tcPr>
            <w:tcW w:w="3938" w:type="dxa"/>
            <w:gridSpan w:val="2"/>
          </w:tcPr>
          <w:p w14:paraId="2671EC49" w14:textId="77777777" w:rsidR="00C934DA" w:rsidRPr="00BE78B0" w:rsidRDefault="00C934DA" w:rsidP="00D35473">
            <w:pPr>
              <w:pStyle w:val="TAH"/>
              <w:rPr>
                <w:lang w:eastAsia="zh-CN"/>
              </w:rPr>
            </w:pPr>
            <w:r w:rsidRPr="00BE78B0">
              <w:rPr>
                <w:lang w:eastAsia="zh-CN"/>
              </w:rPr>
              <w:t>BWP switch delay T</w:t>
            </w:r>
            <w:r w:rsidRPr="00BE78B0">
              <w:rPr>
                <w:vertAlign w:val="subscript"/>
                <w:lang w:eastAsia="zh-CN"/>
              </w:rPr>
              <w:t>BWPswitchDelay</w:t>
            </w:r>
            <w:r w:rsidRPr="00BE78B0">
              <w:rPr>
                <w:lang w:eastAsia="zh-CN"/>
              </w:rPr>
              <w:t xml:space="preserve"> (slots)</w:t>
            </w:r>
          </w:p>
        </w:tc>
      </w:tr>
      <w:tr w:rsidR="00C934DA" w:rsidRPr="00BE78B0" w14:paraId="420F09DA" w14:textId="77777777" w:rsidTr="00D35473">
        <w:trPr>
          <w:trHeight w:val="306"/>
          <w:jc w:val="center"/>
        </w:trPr>
        <w:tc>
          <w:tcPr>
            <w:tcW w:w="649" w:type="dxa"/>
            <w:vMerge/>
            <w:shd w:val="clear" w:color="auto" w:fill="auto"/>
            <w:vAlign w:val="center"/>
          </w:tcPr>
          <w:p w14:paraId="53EE8834" w14:textId="77777777" w:rsidR="00C934DA" w:rsidRPr="00BE78B0" w:rsidRDefault="00C934DA" w:rsidP="00D35473">
            <w:pPr>
              <w:pStyle w:val="TAH"/>
            </w:pPr>
          </w:p>
        </w:tc>
        <w:tc>
          <w:tcPr>
            <w:tcW w:w="992" w:type="dxa"/>
            <w:vMerge/>
          </w:tcPr>
          <w:p w14:paraId="00EC1C9E" w14:textId="77777777" w:rsidR="00C934DA" w:rsidRPr="00BE78B0" w:rsidRDefault="00C934DA" w:rsidP="00D35473">
            <w:pPr>
              <w:pStyle w:val="TAH"/>
            </w:pPr>
          </w:p>
        </w:tc>
        <w:tc>
          <w:tcPr>
            <w:tcW w:w="1969" w:type="dxa"/>
          </w:tcPr>
          <w:p w14:paraId="7D12982F" w14:textId="77777777" w:rsidR="00C934DA" w:rsidRPr="00BE78B0" w:rsidRDefault="00C934DA" w:rsidP="00D35473">
            <w:pPr>
              <w:pStyle w:val="TAH"/>
              <w:rPr>
                <w:vertAlign w:val="superscript"/>
                <w:lang w:eastAsia="zh-CN"/>
              </w:rPr>
            </w:pPr>
            <w:r w:rsidRPr="00BE78B0">
              <w:rPr>
                <w:lang w:eastAsia="zh-CN"/>
              </w:rPr>
              <w:t>Type 1</w:t>
            </w:r>
            <w:r w:rsidRPr="00BE78B0">
              <w:rPr>
                <w:vertAlign w:val="superscript"/>
                <w:lang w:eastAsia="zh-CN"/>
              </w:rPr>
              <w:t>Note 1</w:t>
            </w:r>
          </w:p>
        </w:tc>
        <w:tc>
          <w:tcPr>
            <w:tcW w:w="1969" w:type="dxa"/>
          </w:tcPr>
          <w:p w14:paraId="4D654B85" w14:textId="77777777" w:rsidR="00C934DA" w:rsidRPr="00BE78B0" w:rsidRDefault="00C934DA" w:rsidP="00D35473">
            <w:pPr>
              <w:pStyle w:val="TAH"/>
              <w:rPr>
                <w:vertAlign w:val="superscript"/>
                <w:lang w:eastAsia="zh-CN"/>
              </w:rPr>
            </w:pPr>
            <w:r w:rsidRPr="00BE78B0">
              <w:rPr>
                <w:lang w:eastAsia="zh-CN"/>
              </w:rPr>
              <w:t>Type 2</w:t>
            </w:r>
            <w:r w:rsidRPr="00BE78B0">
              <w:rPr>
                <w:vertAlign w:val="superscript"/>
                <w:lang w:eastAsia="zh-CN"/>
              </w:rPr>
              <w:t>Note 1</w:t>
            </w:r>
          </w:p>
        </w:tc>
      </w:tr>
      <w:tr w:rsidR="00C934DA" w:rsidRPr="00BE78B0" w:rsidDel="00FC0501" w14:paraId="42185DAB" w14:textId="77777777" w:rsidTr="00D35473">
        <w:trPr>
          <w:jc w:val="center"/>
        </w:trPr>
        <w:tc>
          <w:tcPr>
            <w:tcW w:w="649" w:type="dxa"/>
            <w:shd w:val="clear" w:color="auto" w:fill="auto"/>
          </w:tcPr>
          <w:p w14:paraId="55F9D68C" w14:textId="77777777" w:rsidR="00C934DA" w:rsidRPr="00BE78B0" w:rsidRDefault="00C934DA" w:rsidP="00D35473">
            <w:pPr>
              <w:pStyle w:val="TAC"/>
            </w:pPr>
            <w:r w:rsidRPr="00BE78B0">
              <w:t>0</w:t>
            </w:r>
          </w:p>
        </w:tc>
        <w:tc>
          <w:tcPr>
            <w:tcW w:w="992" w:type="dxa"/>
          </w:tcPr>
          <w:p w14:paraId="6CA89757" w14:textId="77777777" w:rsidR="00C934DA" w:rsidRPr="00BE78B0" w:rsidRDefault="00C934DA" w:rsidP="00D35473">
            <w:pPr>
              <w:pStyle w:val="TAC"/>
            </w:pPr>
            <w:r w:rsidRPr="00BE78B0">
              <w:t>1</w:t>
            </w:r>
          </w:p>
        </w:tc>
        <w:tc>
          <w:tcPr>
            <w:tcW w:w="1969" w:type="dxa"/>
            <w:shd w:val="clear" w:color="auto" w:fill="auto"/>
          </w:tcPr>
          <w:p w14:paraId="1AC2E6AF" w14:textId="77777777" w:rsidR="00C934DA" w:rsidRPr="00BE78B0" w:rsidRDefault="00C934DA" w:rsidP="00D35473">
            <w:pPr>
              <w:pStyle w:val="TAC"/>
            </w:pPr>
            <w:r w:rsidRPr="00BE78B0">
              <w:t>1</w:t>
            </w:r>
          </w:p>
        </w:tc>
        <w:tc>
          <w:tcPr>
            <w:tcW w:w="1969" w:type="dxa"/>
          </w:tcPr>
          <w:p w14:paraId="421887A3" w14:textId="77777777" w:rsidR="00C934DA" w:rsidRPr="00BE78B0" w:rsidRDefault="00C934DA" w:rsidP="00D35473">
            <w:pPr>
              <w:pStyle w:val="TAC"/>
            </w:pPr>
            <w:r w:rsidRPr="00BE78B0">
              <w:t>3</w:t>
            </w:r>
          </w:p>
        </w:tc>
      </w:tr>
      <w:tr w:rsidR="00C934DA" w:rsidRPr="00BE78B0" w:rsidDel="00FC0501" w14:paraId="13939656" w14:textId="77777777" w:rsidTr="00D35473">
        <w:trPr>
          <w:jc w:val="center"/>
        </w:trPr>
        <w:tc>
          <w:tcPr>
            <w:tcW w:w="649" w:type="dxa"/>
            <w:shd w:val="clear" w:color="auto" w:fill="auto"/>
          </w:tcPr>
          <w:p w14:paraId="3BCE40B6" w14:textId="77777777" w:rsidR="00C934DA" w:rsidRPr="00BE78B0" w:rsidRDefault="00C934DA" w:rsidP="00D35473">
            <w:pPr>
              <w:pStyle w:val="TAC"/>
            </w:pPr>
            <w:r w:rsidRPr="00BE78B0">
              <w:t>1</w:t>
            </w:r>
          </w:p>
        </w:tc>
        <w:tc>
          <w:tcPr>
            <w:tcW w:w="992" w:type="dxa"/>
          </w:tcPr>
          <w:p w14:paraId="72956CEB" w14:textId="77777777" w:rsidR="00C934DA" w:rsidRPr="00BE78B0" w:rsidRDefault="00C934DA" w:rsidP="00D35473">
            <w:pPr>
              <w:pStyle w:val="TAC"/>
            </w:pPr>
            <w:r w:rsidRPr="00BE78B0">
              <w:t>0.5</w:t>
            </w:r>
          </w:p>
        </w:tc>
        <w:tc>
          <w:tcPr>
            <w:tcW w:w="1969" w:type="dxa"/>
            <w:shd w:val="clear" w:color="auto" w:fill="auto"/>
          </w:tcPr>
          <w:p w14:paraId="6980554D" w14:textId="77777777" w:rsidR="00C934DA" w:rsidRPr="00BE78B0" w:rsidRDefault="00C934DA" w:rsidP="00D35473">
            <w:pPr>
              <w:pStyle w:val="TAC"/>
            </w:pPr>
            <w:r w:rsidRPr="00BE78B0">
              <w:t>2</w:t>
            </w:r>
          </w:p>
        </w:tc>
        <w:tc>
          <w:tcPr>
            <w:tcW w:w="1969" w:type="dxa"/>
          </w:tcPr>
          <w:p w14:paraId="7B555465" w14:textId="77777777" w:rsidR="00C934DA" w:rsidRPr="00BE78B0" w:rsidRDefault="00C934DA" w:rsidP="00D35473">
            <w:pPr>
              <w:pStyle w:val="TAC"/>
            </w:pPr>
            <w:r w:rsidRPr="00BE78B0">
              <w:t>5</w:t>
            </w:r>
          </w:p>
        </w:tc>
      </w:tr>
      <w:tr w:rsidR="00C934DA" w:rsidRPr="00BE78B0" w:rsidDel="00FC0501" w14:paraId="0D3DA66E" w14:textId="77777777" w:rsidTr="00D35473">
        <w:trPr>
          <w:jc w:val="center"/>
        </w:trPr>
        <w:tc>
          <w:tcPr>
            <w:tcW w:w="649" w:type="dxa"/>
            <w:shd w:val="clear" w:color="auto" w:fill="auto"/>
          </w:tcPr>
          <w:p w14:paraId="1FFB2D99" w14:textId="77777777" w:rsidR="00C934DA" w:rsidRPr="00BE78B0" w:rsidRDefault="00C934DA" w:rsidP="00D35473">
            <w:pPr>
              <w:pStyle w:val="TAC"/>
            </w:pPr>
            <w:r w:rsidRPr="00BE78B0">
              <w:t>2</w:t>
            </w:r>
          </w:p>
        </w:tc>
        <w:tc>
          <w:tcPr>
            <w:tcW w:w="992" w:type="dxa"/>
          </w:tcPr>
          <w:p w14:paraId="0210FD95" w14:textId="77777777" w:rsidR="00C934DA" w:rsidRPr="00BE78B0" w:rsidRDefault="00C934DA" w:rsidP="00D35473">
            <w:pPr>
              <w:pStyle w:val="TAC"/>
            </w:pPr>
            <w:r w:rsidRPr="00BE78B0">
              <w:t>0.25</w:t>
            </w:r>
          </w:p>
        </w:tc>
        <w:tc>
          <w:tcPr>
            <w:tcW w:w="1969" w:type="dxa"/>
            <w:shd w:val="clear" w:color="auto" w:fill="auto"/>
          </w:tcPr>
          <w:p w14:paraId="60DCFD0B" w14:textId="77777777" w:rsidR="00C934DA" w:rsidRPr="00BE78B0" w:rsidRDefault="00C934DA" w:rsidP="00D35473">
            <w:pPr>
              <w:pStyle w:val="TAC"/>
            </w:pPr>
            <w:r w:rsidRPr="00BE78B0">
              <w:t>3</w:t>
            </w:r>
          </w:p>
        </w:tc>
        <w:tc>
          <w:tcPr>
            <w:tcW w:w="1969" w:type="dxa"/>
          </w:tcPr>
          <w:p w14:paraId="18E46684" w14:textId="77777777" w:rsidR="00C934DA" w:rsidRPr="00BE78B0" w:rsidRDefault="00C934DA" w:rsidP="00D35473">
            <w:pPr>
              <w:pStyle w:val="TAC"/>
            </w:pPr>
            <w:r w:rsidRPr="00BE78B0">
              <w:t>9</w:t>
            </w:r>
          </w:p>
        </w:tc>
      </w:tr>
      <w:tr w:rsidR="00C934DA" w:rsidRPr="00BE78B0" w:rsidDel="00FC0501" w14:paraId="199C1CA3" w14:textId="77777777" w:rsidTr="00D35473">
        <w:trPr>
          <w:jc w:val="center"/>
        </w:trPr>
        <w:tc>
          <w:tcPr>
            <w:tcW w:w="649" w:type="dxa"/>
            <w:shd w:val="clear" w:color="auto" w:fill="auto"/>
          </w:tcPr>
          <w:p w14:paraId="11268096" w14:textId="77777777" w:rsidR="00C934DA" w:rsidRPr="00BE78B0" w:rsidRDefault="00C934DA" w:rsidP="00D35473">
            <w:pPr>
              <w:pStyle w:val="TAC"/>
            </w:pPr>
            <w:r w:rsidRPr="00BE78B0">
              <w:t>3</w:t>
            </w:r>
          </w:p>
        </w:tc>
        <w:tc>
          <w:tcPr>
            <w:tcW w:w="992" w:type="dxa"/>
          </w:tcPr>
          <w:p w14:paraId="0D1FBDEE" w14:textId="77777777" w:rsidR="00C934DA" w:rsidRPr="00BE78B0" w:rsidRDefault="00C934DA" w:rsidP="00D35473">
            <w:pPr>
              <w:pStyle w:val="TAC"/>
            </w:pPr>
            <w:r w:rsidRPr="00BE78B0">
              <w:t>0.125</w:t>
            </w:r>
          </w:p>
        </w:tc>
        <w:tc>
          <w:tcPr>
            <w:tcW w:w="1969" w:type="dxa"/>
            <w:shd w:val="clear" w:color="auto" w:fill="auto"/>
          </w:tcPr>
          <w:p w14:paraId="15C61939" w14:textId="77777777" w:rsidR="00C934DA" w:rsidRPr="00BE78B0" w:rsidRDefault="00C934DA" w:rsidP="00D35473">
            <w:pPr>
              <w:pStyle w:val="TAC"/>
            </w:pPr>
            <w:r w:rsidRPr="00BE78B0">
              <w:t>6</w:t>
            </w:r>
          </w:p>
        </w:tc>
        <w:tc>
          <w:tcPr>
            <w:tcW w:w="1969" w:type="dxa"/>
          </w:tcPr>
          <w:p w14:paraId="6BC2574D" w14:textId="77777777" w:rsidR="00C934DA" w:rsidRPr="00BE78B0" w:rsidRDefault="00C934DA" w:rsidP="00D35473">
            <w:pPr>
              <w:pStyle w:val="TAC"/>
            </w:pPr>
            <w:r w:rsidRPr="00BE78B0">
              <w:t>18</w:t>
            </w:r>
          </w:p>
        </w:tc>
      </w:tr>
      <w:tr w:rsidR="00C934DA" w:rsidRPr="00BE78B0" w:rsidDel="00FC0501" w14:paraId="09A6D042" w14:textId="77777777" w:rsidTr="00D35473">
        <w:trPr>
          <w:jc w:val="center"/>
        </w:trPr>
        <w:tc>
          <w:tcPr>
            <w:tcW w:w="5579" w:type="dxa"/>
            <w:gridSpan w:val="4"/>
            <w:shd w:val="clear" w:color="auto" w:fill="auto"/>
          </w:tcPr>
          <w:p w14:paraId="15034FD7" w14:textId="77777777" w:rsidR="00C934DA" w:rsidRPr="00BE78B0" w:rsidRDefault="00C934DA" w:rsidP="00D35473">
            <w:pPr>
              <w:pStyle w:val="TAN"/>
            </w:pPr>
            <w:r w:rsidRPr="00BE78B0">
              <w:t>Note 1:</w:t>
            </w:r>
            <w:r w:rsidRPr="00BE78B0">
              <w:tab/>
              <w:t>Depends on UE capability.</w:t>
            </w:r>
          </w:p>
          <w:p w14:paraId="3B1AAE8B" w14:textId="77777777" w:rsidR="00C934DA" w:rsidRPr="00BE78B0" w:rsidRDefault="00C934DA" w:rsidP="00D35473">
            <w:pPr>
              <w:pStyle w:val="TAN"/>
            </w:pPr>
            <w:r w:rsidRPr="00BE78B0">
              <w:t>Note 2:</w:t>
            </w:r>
            <w:r w:rsidRPr="00BE78B0">
              <w:tab/>
              <w:t>If the BWP switch involves changing of SCS, the BWP switch delay is determined by the larger one between the SCS before BWP switch and the SCS after BWP switch.</w:t>
            </w:r>
          </w:p>
        </w:tc>
      </w:tr>
    </w:tbl>
    <w:p w14:paraId="5F902B92" w14:textId="77777777" w:rsidR="00C934DA" w:rsidRDefault="00C934DA" w:rsidP="00C934DA"/>
    <w:p w14:paraId="38E477B3" w14:textId="19F2E50C" w:rsidR="00C934DA" w:rsidRPr="007520E5" w:rsidRDefault="00C934DA" w:rsidP="00C934DA">
      <w:pPr>
        <w:rPr>
          <w:b/>
          <w:bCs/>
        </w:rPr>
      </w:pPr>
      <w:r w:rsidRPr="007520E5">
        <w:rPr>
          <w:b/>
          <w:bCs/>
        </w:rPr>
        <w:t xml:space="preserve">Proposal </w:t>
      </w:r>
      <w:r>
        <w:rPr>
          <w:b/>
          <w:bCs/>
        </w:rPr>
        <w:t>10</w:t>
      </w:r>
      <w:r w:rsidRPr="007520E5">
        <w:rPr>
          <w:b/>
          <w:bCs/>
        </w:rPr>
        <w:t xml:space="preserve">. In intra-frequency scenarios </w:t>
      </w:r>
      <w:r>
        <w:rPr>
          <w:b/>
          <w:bCs/>
        </w:rPr>
        <w:t xml:space="preserve">with source cell BWP/system BW greater than target cell BWP/system BW and containing it, the </w:t>
      </w:r>
      <w:r w:rsidRPr="007520E5">
        <w:rPr>
          <w:b/>
          <w:bCs/>
        </w:rPr>
        <w:t xml:space="preserve">interruption time in both DL and UL </w:t>
      </w:r>
      <w:r>
        <w:rPr>
          <w:b/>
          <w:bCs/>
        </w:rPr>
        <w:t xml:space="preserve">for a 1-Tx capable UE </w:t>
      </w:r>
      <w:r w:rsidRPr="007520E5">
        <w:rPr>
          <w:b/>
          <w:bCs/>
        </w:rPr>
        <w:t>to be</w:t>
      </w:r>
      <w:r>
        <w:rPr>
          <w:b/>
          <w:bCs/>
        </w:rPr>
        <w:t xml:space="preserve"> according to</w:t>
      </w:r>
      <w:r w:rsidRPr="007520E5">
        <w:rPr>
          <w:b/>
          <w:bCs/>
        </w:rPr>
        <w:t>:</w:t>
      </w:r>
    </w:p>
    <w:p w14:paraId="2FD0EAF1" w14:textId="77777777" w:rsidR="00C934DA" w:rsidRPr="00BA46FE" w:rsidRDefault="00C934DA" w:rsidP="00C934DA">
      <w:pPr>
        <w:pStyle w:val="ListParagraph"/>
        <w:numPr>
          <w:ilvl w:val="0"/>
          <w:numId w:val="46"/>
        </w:numPr>
        <w:rPr>
          <w:b/>
          <w:bCs/>
          <w:sz w:val="20"/>
          <w:szCs w:val="20"/>
        </w:rPr>
      </w:pPr>
      <w:r w:rsidRPr="00BA46FE">
        <w:rPr>
          <w:b/>
          <w:bCs/>
          <w:sz w:val="20"/>
          <w:szCs w:val="20"/>
        </w:rPr>
        <w:t>Table 8.2.4.2.1-1 of TS 38.133 for synchronous scenarios when UE receives the HO command and adds the target cell</w:t>
      </w:r>
    </w:p>
    <w:p w14:paraId="7CD1DC04" w14:textId="77777777" w:rsidR="00C934DA" w:rsidRDefault="00C934DA" w:rsidP="00C934DA">
      <w:pPr>
        <w:pStyle w:val="ListParagraph"/>
        <w:numPr>
          <w:ilvl w:val="0"/>
          <w:numId w:val="46"/>
        </w:numPr>
        <w:rPr>
          <w:b/>
          <w:bCs/>
          <w:sz w:val="20"/>
          <w:szCs w:val="20"/>
        </w:rPr>
      </w:pPr>
      <w:r>
        <w:rPr>
          <w:b/>
          <w:bCs/>
          <w:sz w:val="20"/>
          <w:szCs w:val="20"/>
        </w:rPr>
        <w:t xml:space="preserve">Table 8.6.2-1 of TS 38.133 for synchronous scenarios </w:t>
      </w:r>
      <w:r w:rsidRPr="007520E5">
        <w:rPr>
          <w:b/>
          <w:bCs/>
          <w:sz w:val="20"/>
          <w:szCs w:val="20"/>
        </w:rPr>
        <w:t>when UE completes the HO and releases the source cell</w:t>
      </w:r>
    </w:p>
    <w:p w14:paraId="19F275B3" w14:textId="77777777" w:rsidR="00C934DA" w:rsidRPr="007520E5" w:rsidRDefault="00C934DA" w:rsidP="00C934DA">
      <w:pPr>
        <w:pStyle w:val="ListParagraph"/>
        <w:numPr>
          <w:ilvl w:val="0"/>
          <w:numId w:val="46"/>
        </w:numPr>
        <w:rPr>
          <w:b/>
          <w:bCs/>
          <w:sz w:val="20"/>
          <w:szCs w:val="20"/>
        </w:rPr>
      </w:pPr>
      <w:r w:rsidRPr="00BA46FE">
        <w:rPr>
          <w:b/>
          <w:bCs/>
          <w:sz w:val="20"/>
          <w:szCs w:val="20"/>
        </w:rPr>
        <w:t xml:space="preserve">Table 8.2.4.2.1-1 of TS 38.133 </w:t>
      </w:r>
      <w:r>
        <w:rPr>
          <w:b/>
          <w:bCs/>
          <w:sz w:val="20"/>
          <w:szCs w:val="20"/>
        </w:rPr>
        <w:t>plus 1ms</w:t>
      </w:r>
      <w:r w:rsidRPr="007520E5">
        <w:rPr>
          <w:b/>
          <w:bCs/>
          <w:sz w:val="20"/>
          <w:szCs w:val="20"/>
        </w:rPr>
        <w:t xml:space="preserve"> </w:t>
      </w:r>
      <w:r>
        <w:rPr>
          <w:b/>
          <w:bCs/>
          <w:sz w:val="20"/>
          <w:szCs w:val="20"/>
        </w:rPr>
        <w:t xml:space="preserve">for asynchronous scenarios </w:t>
      </w:r>
      <w:r w:rsidRPr="007520E5">
        <w:rPr>
          <w:b/>
          <w:bCs/>
          <w:sz w:val="20"/>
          <w:szCs w:val="20"/>
        </w:rPr>
        <w:t>when UE receives the HO command and adds the target cell</w:t>
      </w:r>
    </w:p>
    <w:p w14:paraId="059A0B67" w14:textId="77777777" w:rsidR="00C934DA" w:rsidRPr="00D94D05" w:rsidRDefault="00C934DA" w:rsidP="00C934DA">
      <w:pPr>
        <w:pStyle w:val="ListParagraph"/>
        <w:numPr>
          <w:ilvl w:val="0"/>
          <w:numId w:val="46"/>
        </w:numPr>
        <w:rPr>
          <w:b/>
          <w:bCs/>
          <w:sz w:val="20"/>
          <w:szCs w:val="20"/>
        </w:rPr>
      </w:pPr>
      <w:r>
        <w:rPr>
          <w:b/>
          <w:bCs/>
          <w:sz w:val="20"/>
          <w:szCs w:val="20"/>
        </w:rPr>
        <w:t>Table 8.6.2-1 of TS 38.133 plus 1ms</w:t>
      </w:r>
      <w:r w:rsidRPr="007520E5">
        <w:rPr>
          <w:b/>
          <w:bCs/>
          <w:sz w:val="20"/>
          <w:szCs w:val="20"/>
        </w:rPr>
        <w:t xml:space="preserve"> </w:t>
      </w:r>
      <w:r>
        <w:rPr>
          <w:b/>
          <w:bCs/>
          <w:sz w:val="20"/>
          <w:szCs w:val="20"/>
        </w:rPr>
        <w:t xml:space="preserve">for asynchronous scenarios </w:t>
      </w:r>
      <w:r w:rsidRPr="007520E5">
        <w:rPr>
          <w:b/>
          <w:bCs/>
          <w:sz w:val="20"/>
          <w:szCs w:val="20"/>
        </w:rPr>
        <w:t>when UE completes the HO and releases the source cell</w:t>
      </w:r>
    </w:p>
    <w:p w14:paraId="01B42AD0" w14:textId="77777777" w:rsidR="00C934DA" w:rsidRDefault="00C934DA" w:rsidP="00C934DA"/>
    <w:p w14:paraId="77DB3078" w14:textId="4B6062A7" w:rsidR="00C934DA" w:rsidRPr="007520E5" w:rsidRDefault="00C934DA" w:rsidP="00C934DA">
      <w:pPr>
        <w:rPr>
          <w:b/>
          <w:bCs/>
        </w:rPr>
      </w:pPr>
      <w:r w:rsidRPr="007520E5">
        <w:rPr>
          <w:b/>
          <w:bCs/>
        </w:rPr>
        <w:t xml:space="preserve">Proposal </w:t>
      </w:r>
      <w:r>
        <w:rPr>
          <w:b/>
          <w:bCs/>
        </w:rPr>
        <w:t>11</w:t>
      </w:r>
      <w:r w:rsidRPr="007520E5">
        <w:rPr>
          <w:b/>
          <w:bCs/>
        </w:rPr>
        <w:t xml:space="preserve">. In intra-frequency scenarios </w:t>
      </w:r>
      <w:r>
        <w:rPr>
          <w:b/>
          <w:bCs/>
        </w:rPr>
        <w:t xml:space="preserve">with source cell BWP/system BW smaller than target cell BWP/system BW and contained by it, the </w:t>
      </w:r>
      <w:r w:rsidRPr="007520E5">
        <w:rPr>
          <w:b/>
          <w:bCs/>
        </w:rPr>
        <w:t xml:space="preserve">interruption time in both DL and UL </w:t>
      </w:r>
      <w:r>
        <w:rPr>
          <w:b/>
          <w:bCs/>
        </w:rPr>
        <w:t xml:space="preserve">for a 1-Tx capable UE </w:t>
      </w:r>
      <w:r w:rsidRPr="007520E5">
        <w:rPr>
          <w:b/>
          <w:bCs/>
        </w:rPr>
        <w:t>to be:</w:t>
      </w:r>
    </w:p>
    <w:p w14:paraId="2EDF73AB" w14:textId="77777777" w:rsidR="00C934DA" w:rsidRPr="007520E5" w:rsidRDefault="00C934DA" w:rsidP="00C934DA">
      <w:pPr>
        <w:pStyle w:val="ListParagraph"/>
        <w:numPr>
          <w:ilvl w:val="0"/>
          <w:numId w:val="46"/>
        </w:numPr>
        <w:rPr>
          <w:b/>
          <w:bCs/>
          <w:sz w:val="20"/>
          <w:szCs w:val="20"/>
        </w:rPr>
      </w:pPr>
      <w:r>
        <w:rPr>
          <w:b/>
          <w:bCs/>
          <w:sz w:val="20"/>
          <w:szCs w:val="20"/>
        </w:rPr>
        <w:t xml:space="preserve">Table 8.6.2-1 of TS 38.133 for synchronous scenarios </w:t>
      </w:r>
      <w:r w:rsidRPr="007520E5">
        <w:rPr>
          <w:b/>
          <w:bCs/>
          <w:sz w:val="20"/>
          <w:szCs w:val="20"/>
        </w:rPr>
        <w:t>when UE receives the HO command and adds the target cell</w:t>
      </w:r>
    </w:p>
    <w:p w14:paraId="4D652C48" w14:textId="77777777" w:rsidR="00C934DA" w:rsidRDefault="00C934DA" w:rsidP="00C934DA">
      <w:pPr>
        <w:pStyle w:val="ListParagraph"/>
        <w:numPr>
          <w:ilvl w:val="0"/>
          <w:numId w:val="46"/>
        </w:numPr>
        <w:rPr>
          <w:b/>
          <w:bCs/>
          <w:sz w:val="20"/>
          <w:szCs w:val="20"/>
        </w:rPr>
      </w:pPr>
      <w:r w:rsidRPr="00BA46FE">
        <w:rPr>
          <w:b/>
          <w:bCs/>
          <w:sz w:val="20"/>
          <w:szCs w:val="20"/>
        </w:rPr>
        <w:t xml:space="preserve">Table 8.2.4.2.1-1 of TS 38.133 </w:t>
      </w:r>
      <w:r>
        <w:rPr>
          <w:b/>
          <w:bCs/>
          <w:sz w:val="20"/>
          <w:szCs w:val="20"/>
        </w:rPr>
        <w:t xml:space="preserve">for synchronous scenarios </w:t>
      </w:r>
      <w:r w:rsidRPr="007520E5">
        <w:rPr>
          <w:b/>
          <w:bCs/>
          <w:sz w:val="20"/>
          <w:szCs w:val="20"/>
        </w:rPr>
        <w:t>when UE completes the HO and releases the source cell</w:t>
      </w:r>
    </w:p>
    <w:p w14:paraId="3D6092BC" w14:textId="77777777" w:rsidR="00C934DA" w:rsidRPr="007520E5" w:rsidRDefault="00C934DA" w:rsidP="00C934DA">
      <w:pPr>
        <w:pStyle w:val="ListParagraph"/>
        <w:numPr>
          <w:ilvl w:val="0"/>
          <w:numId w:val="46"/>
        </w:numPr>
        <w:rPr>
          <w:b/>
          <w:bCs/>
          <w:sz w:val="20"/>
          <w:szCs w:val="20"/>
        </w:rPr>
      </w:pPr>
      <w:r>
        <w:rPr>
          <w:b/>
          <w:bCs/>
          <w:sz w:val="20"/>
          <w:szCs w:val="20"/>
        </w:rPr>
        <w:t>Table 8.6.2-1 of TS 38.133 plus 1ms</w:t>
      </w:r>
      <w:r w:rsidRPr="007520E5">
        <w:rPr>
          <w:b/>
          <w:bCs/>
          <w:sz w:val="20"/>
          <w:szCs w:val="20"/>
        </w:rPr>
        <w:t xml:space="preserve"> </w:t>
      </w:r>
      <w:r>
        <w:rPr>
          <w:b/>
          <w:bCs/>
          <w:sz w:val="20"/>
          <w:szCs w:val="20"/>
        </w:rPr>
        <w:t xml:space="preserve">for asynchronous scenarios </w:t>
      </w:r>
      <w:r w:rsidRPr="007520E5">
        <w:rPr>
          <w:b/>
          <w:bCs/>
          <w:sz w:val="20"/>
          <w:szCs w:val="20"/>
        </w:rPr>
        <w:t>when UE receives the HO command and adds the target cell</w:t>
      </w:r>
    </w:p>
    <w:p w14:paraId="4B7C0144" w14:textId="2E5F5870" w:rsidR="00804DAC" w:rsidRPr="002E44C5" w:rsidRDefault="00C934DA" w:rsidP="00804DAC">
      <w:pPr>
        <w:pStyle w:val="ListParagraph"/>
        <w:numPr>
          <w:ilvl w:val="0"/>
          <w:numId w:val="46"/>
        </w:numPr>
        <w:rPr>
          <w:b/>
          <w:bCs/>
          <w:sz w:val="20"/>
          <w:szCs w:val="20"/>
        </w:rPr>
      </w:pPr>
      <w:r w:rsidRPr="00BA46FE">
        <w:rPr>
          <w:b/>
          <w:bCs/>
          <w:sz w:val="20"/>
          <w:szCs w:val="20"/>
        </w:rPr>
        <w:t xml:space="preserve">Table 8.2.4.2.1-1 of TS 38.133 </w:t>
      </w:r>
      <w:r>
        <w:rPr>
          <w:b/>
          <w:bCs/>
          <w:sz w:val="20"/>
          <w:szCs w:val="20"/>
        </w:rPr>
        <w:t>plus 1ms</w:t>
      </w:r>
      <w:r w:rsidRPr="007520E5">
        <w:rPr>
          <w:b/>
          <w:bCs/>
          <w:sz w:val="20"/>
          <w:szCs w:val="20"/>
        </w:rPr>
        <w:t xml:space="preserve"> </w:t>
      </w:r>
      <w:r>
        <w:rPr>
          <w:b/>
          <w:bCs/>
          <w:sz w:val="20"/>
          <w:szCs w:val="20"/>
        </w:rPr>
        <w:t xml:space="preserve">for asynchronous scenarios </w:t>
      </w:r>
      <w:r w:rsidRPr="007520E5">
        <w:rPr>
          <w:b/>
          <w:bCs/>
          <w:sz w:val="20"/>
          <w:szCs w:val="20"/>
        </w:rPr>
        <w:t>when UE completes the HO and releases the source cell</w:t>
      </w:r>
    </w:p>
    <w:p w14:paraId="0C633F9D" w14:textId="77777777" w:rsidR="00797CE5" w:rsidRDefault="00797CE5" w:rsidP="006050F7">
      <w:pPr>
        <w:pStyle w:val="Heading1"/>
        <w:numPr>
          <w:ilvl w:val="0"/>
          <w:numId w:val="0"/>
        </w:numPr>
        <w:rPr>
          <w:lang w:val="en-US"/>
        </w:rPr>
      </w:pPr>
      <w:r>
        <w:rPr>
          <w:lang w:val="en-US"/>
        </w:rPr>
        <w:t>References</w:t>
      </w:r>
    </w:p>
    <w:p w14:paraId="7B142946" w14:textId="53EE4F94" w:rsidR="00BF31AD" w:rsidRDefault="00757E09" w:rsidP="00797CE5">
      <w:pPr>
        <w:rPr>
          <w:lang w:val="en-US"/>
        </w:rPr>
      </w:pPr>
      <w:r>
        <w:rPr>
          <w:lang w:val="en-US"/>
        </w:rPr>
        <w:t>[1] R4-1908234</w:t>
      </w:r>
    </w:p>
    <w:p w14:paraId="786FC996" w14:textId="3C80547B" w:rsidR="00FF4626" w:rsidRDefault="00FF4626" w:rsidP="00797CE5">
      <w:pPr>
        <w:rPr>
          <w:lang w:val="en-US"/>
        </w:rPr>
      </w:pPr>
      <w:r>
        <w:rPr>
          <w:lang w:val="en-US"/>
        </w:rPr>
        <w:t>[2] R4-1903288</w:t>
      </w:r>
    </w:p>
    <w:p w14:paraId="2235C35F" w14:textId="4F710FF3" w:rsidR="00FF4626" w:rsidRDefault="00FF4626" w:rsidP="00797CE5">
      <w:pPr>
        <w:rPr>
          <w:lang w:val="en-US"/>
        </w:rPr>
      </w:pPr>
      <w:r>
        <w:rPr>
          <w:lang w:val="en-US"/>
        </w:rPr>
        <w:t>[3] R4-1909550</w:t>
      </w:r>
    </w:p>
    <w:p w14:paraId="3F7DBEC2" w14:textId="4E73ECEE" w:rsidR="006F1828" w:rsidRDefault="006F1828" w:rsidP="00797CE5">
      <w:pPr>
        <w:rPr>
          <w:lang w:val="en-US"/>
        </w:rPr>
      </w:pPr>
      <w:r>
        <w:rPr>
          <w:lang w:val="en-US"/>
        </w:rPr>
        <w:t>[4] R4-1907737</w:t>
      </w:r>
    </w:p>
    <w:p w14:paraId="5055579A" w14:textId="7A82CC03" w:rsidR="005A7125" w:rsidRDefault="005A7125" w:rsidP="00797CE5">
      <w:pPr>
        <w:rPr>
          <w:lang w:val="en-US"/>
        </w:rPr>
      </w:pPr>
      <w:r>
        <w:rPr>
          <w:lang w:val="en-US"/>
        </w:rPr>
        <w:t>[5] R4-1908487</w:t>
      </w:r>
    </w:p>
    <w:p w14:paraId="06D988B4" w14:textId="75D6B72E" w:rsidR="00AD7037" w:rsidRDefault="00AD7037" w:rsidP="00797CE5">
      <w:pPr>
        <w:rPr>
          <w:lang w:val="en-US"/>
        </w:rPr>
      </w:pPr>
      <w:r>
        <w:rPr>
          <w:lang w:val="en-US"/>
        </w:rPr>
        <w:t>[6] R4-1909628</w:t>
      </w:r>
    </w:p>
    <w:p w14:paraId="493E46AA" w14:textId="6CF2DFE0" w:rsidR="00AD7037" w:rsidRDefault="00AD7037" w:rsidP="00797CE5">
      <w:pPr>
        <w:rPr>
          <w:lang w:val="en-US"/>
        </w:rPr>
      </w:pPr>
      <w:r>
        <w:rPr>
          <w:lang w:val="en-US"/>
        </w:rPr>
        <w:t>[7] R4-1902030</w:t>
      </w:r>
    </w:p>
    <w:sectPr w:rsidR="00AD7037" w:rsidSect="00571A0A">
      <w:footerReference w:type="even" r:id="rId11"/>
      <w:footerReference w:type="default" r:id="rId12"/>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6D7FD2" w14:textId="77777777" w:rsidR="005F0875" w:rsidRDefault="005F0875">
      <w:r>
        <w:separator/>
      </w:r>
    </w:p>
  </w:endnote>
  <w:endnote w:type="continuationSeparator" w:id="0">
    <w:p w14:paraId="17DD5529" w14:textId="77777777" w:rsidR="005F0875" w:rsidRDefault="005F08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altName w:val="Arial"/>
    <w:panose1 w:val="020B0604020202020204"/>
    <w:charset w:val="00"/>
    <w:family w:val="swiss"/>
    <w:pitch w:val="variable"/>
    <w:sig w:usb0="E0002EFF" w:usb1="C000785B" w:usb2="00000009" w:usb3="00000000" w:csb0="000001FF" w:csb1="00000000"/>
  </w:font>
  <w:font w:name="Times New Roman">
    <w:altName w:val="Times New Roman PS"/>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080E0000" w:usb2="00000010" w:usb3="00000000" w:csb0="00040001"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Tms Rmn">
    <w:altName w:val="Times New Roman"/>
    <w:panose1 w:val="02020603040505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43"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4B4F43" w14:textId="77777777" w:rsidR="00AD7037" w:rsidRDefault="00AD703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152CAA97" w14:textId="77777777" w:rsidR="00AD7037" w:rsidRDefault="00AD703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0357AD" w14:textId="29F967D7" w:rsidR="00AD7037" w:rsidRDefault="00AD703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4</w:t>
    </w:r>
    <w:r>
      <w:rPr>
        <w:rStyle w:val="PageNumber"/>
      </w:rPr>
      <w:fldChar w:fldCharType="end"/>
    </w:r>
  </w:p>
  <w:p w14:paraId="2F474404" w14:textId="77777777" w:rsidR="00AD7037" w:rsidRDefault="00AD7037">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6BD9EC" w14:textId="77777777" w:rsidR="005F0875" w:rsidRDefault="005F0875">
      <w:r>
        <w:separator/>
      </w:r>
    </w:p>
  </w:footnote>
  <w:footnote w:type="continuationSeparator" w:id="0">
    <w:p w14:paraId="741E69D6" w14:textId="77777777" w:rsidR="005F0875" w:rsidRDefault="005F087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5363034"/>
    <w:lvl w:ilvl="0">
      <w:start w:val="1"/>
      <w:numFmt w:val="decimal"/>
      <w:pStyle w:val="ListNumber5"/>
      <w:lvlText w:val="%1."/>
      <w:lvlJc w:val="left"/>
      <w:pPr>
        <w:tabs>
          <w:tab w:val="num" w:pos="1492"/>
        </w:tabs>
        <w:ind w:left="1492" w:hanging="360"/>
      </w:pPr>
    </w:lvl>
  </w:abstractNum>
  <w:abstractNum w:abstractNumId="1" w15:restartNumberingAfterBreak="0">
    <w:nsid w:val="FFFFFFFE"/>
    <w:multiLevelType w:val="singleLevel"/>
    <w:tmpl w:val="FFFFFFFF"/>
    <w:lvl w:ilvl="0">
      <w:numFmt w:val="decimal"/>
      <w:pStyle w:val="CharChar3CharCharCharCharCharChar"/>
      <w:lvlText w:val="*"/>
      <w:lvlJc w:val="left"/>
    </w:lvl>
  </w:abstractNum>
  <w:abstractNum w:abstractNumId="2" w15:restartNumberingAfterBreak="0">
    <w:nsid w:val="007C342A"/>
    <w:multiLevelType w:val="hybridMultilevel"/>
    <w:tmpl w:val="EFDE9E38"/>
    <w:lvl w:ilvl="0" w:tplc="549EC9BA">
      <w:start w:val="1"/>
      <w:numFmt w:val="bullet"/>
      <w:lvlText w:val="•"/>
      <w:lvlJc w:val="left"/>
      <w:pPr>
        <w:tabs>
          <w:tab w:val="num" w:pos="720"/>
        </w:tabs>
        <w:ind w:left="720" w:hanging="360"/>
      </w:pPr>
      <w:rPr>
        <w:rFonts w:ascii="Arial" w:hAnsi="Arial" w:hint="default"/>
      </w:rPr>
    </w:lvl>
    <w:lvl w:ilvl="1" w:tplc="9004521C">
      <w:start w:val="174"/>
      <w:numFmt w:val="bullet"/>
      <w:lvlText w:val="–"/>
      <w:lvlJc w:val="left"/>
      <w:pPr>
        <w:tabs>
          <w:tab w:val="num" w:pos="1440"/>
        </w:tabs>
        <w:ind w:left="1440" w:hanging="360"/>
      </w:pPr>
      <w:rPr>
        <w:rFonts w:ascii="Arial" w:hAnsi="Arial" w:hint="default"/>
      </w:rPr>
    </w:lvl>
    <w:lvl w:ilvl="2" w:tplc="6DCC9972" w:tentative="1">
      <w:start w:val="1"/>
      <w:numFmt w:val="bullet"/>
      <w:lvlText w:val="•"/>
      <w:lvlJc w:val="left"/>
      <w:pPr>
        <w:tabs>
          <w:tab w:val="num" w:pos="2160"/>
        </w:tabs>
        <w:ind w:left="2160" w:hanging="360"/>
      </w:pPr>
      <w:rPr>
        <w:rFonts w:ascii="Arial" w:hAnsi="Arial" w:hint="default"/>
      </w:rPr>
    </w:lvl>
    <w:lvl w:ilvl="3" w:tplc="52C81B84" w:tentative="1">
      <w:start w:val="1"/>
      <w:numFmt w:val="bullet"/>
      <w:lvlText w:val="•"/>
      <w:lvlJc w:val="left"/>
      <w:pPr>
        <w:tabs>
          <w:tab w:val="num" w:pos="2880"/>
        </w:tabs>
        <w:ind w:left="2880" w:hanging="360"/>
      </w:pPr>
      <w:rPr>
        <w:rFonts w:ascii="Arial" w:hAnsi="Arial" w:hint="default"/>
      </w:rPr>
    </w:lvl>
    <w:lvl w:ilvl="4" w:tplc="00B8E584" w:tentative="1">
      <w:start w:val="1"/>
      <w:numFmt w:val="bullet"/>
      <w:lvlText w:val="•"/>
      <w:lvlJc w:val="left"/>
      <w:pPr>
        <w:tabs>
          <w:tab w:val="num" w:pos="3600"/>
        </w:tabs>
        <w:ind w:left="3600" w:hanging="360"/>
      </w:pPr>
      <w:rPr>
        <w:rFonts w:ascii="Arial" w:hAnsi="Arial" w:hint="default"/>
      </w:rPr>
    </w:lvl>
    <w:lvl w:ilvl="5" w:tplc="78F0F426" w:tentative="1">
      <w:start w:val="1"/>
      <w:numFmt w:val="bullet"/>
      <w:lvlText w:val="•"/>
      <w:lvlJc w:val="left"/>
      <w:pPr>
        <w:tabs>
          <w:tab w:val="num" w:pos="4320"/>
        </w:tabs>
        <w:ind w:left="4320" w:hanging="360"/>
      </w:pPr>
      <w:rPr>
        <w:rFonts w:ascii="Arial" w:hAnsi="Arial" w:hint="default"/>
      </w:rPr>
    </w:lvl>
    <w:lvl w:ilvl="6" w:tplc="08C25992" w:tentative="1">
      <w:start w:val="1"/>
      <w:numFmt w:val="bullet"/>
      <w:lvlText w:val="•"/>
      <w:lvlJc w:val="left"/>
      <w:pPr>
        <w:tabs>
          <w:tab w:val="num" w:pos="5040"/>
        </w:tabs>
        <w:ind w:left="5040" w:hanging="360"/>
      </w:pPr>
      <w:rPr>
        <w:rFonts w:ascii="Arial" w:hAnsi="Arial" w:hint="default"/>
      </w:rPr>
    </w:lvl>
    <w:lvl w:ilvl="7" w:tplc="8D7AE2CC" w:tentative="1">
      <w:start w:val="1"/>
      <w:numFmt w:val="bullet"/>
      <w:lvlText w:val="•"/>
      <w:lvlJc w:val="left"/>
      <w:pPr>
        <w:tabs>
          <w:tab w:val="num" w:pos="5760"/>
        </w:tabs>
        <w:ind w:left="5760" w:hanging="360"/>
      </w:pPr>
      <w:rPr>
        <w:rFonts w:ascii="Arial" w:hAnsi="Arial" w:hint="default"/>
      </w:rPr>
    </w:lvl>
    <w:lvl w:ilvl="8" w:tplc="50AEB1A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3F57BD"/>
    <w:multiLevelType w:val="hybridMultilevel"/>
    <w:tmpl w:val="4EB254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1E6F8F"/>
    <w:multiLevelType w:val="hybridMultilevel"/>
    <w:tmpl w:val="0FC2DE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770789"/>
    <w:multiLevelType w:val="hybridMultilevel"/>
    <w:tmpl w:val="82B6FB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211E08"/>
    <w:multiLevelType w:val="hybridMultilevel"/>
    <w:tmpl w:val="9FE0C6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6A65EE"/>
    <w:multiLevelType w:val="hybridMultilevel"/>
    <w:tmpl w:val="63DC77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26A1A34"/>
    <w:multiLevelType w:val="hybridMultilevel"/>
    <w:tmpl w:val="EE7CC0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2D660B9"/>
    <w:multiLevelType w:val="hybridMultilevel"/>
    <w:tmpl w:val="7C4AC5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6172533"/>
    <w:multiLevelType w:val="hybridMultilevel"/>
    <w:tmpl w:val="3BEAD5FA"/>
    <w:lvl w:ilvl="0" w:tplc="04090001">
      <w:start w:val="1"/>
      <w:numFmt w:val="bullet"/>
      <w:lvlText w:val=""/>
      <w:lvlJc w:val="left"/>
      <w:pPr>
        <w:ind w:left="420" w:hanging="420"/>
      </w:pPr>
      <w:rPr>
        <w:rFonts w:ascii="Symbol" w:hAnsi="Symbol" w:hint="default"/>
      </w:rPr>
    </w:lvl>
    <w:lvl w:ilvl="1" w:tplc="94B4423C">
      <w:start w:val="1"/>
      <w:numFmt w:val="bullet"/>
      <w:lvlText w:val="o"/>
      <w:lvlJc w:val="left"/>
      <w:pPr>
        <w:ind w:left="840" w:hanging="420"/>
      </w:pPr>
      <w:rPr>
        <w:rFonts w:ascii="Courier New" w:hAnsi="Courier New" w:cs="Courier New" w:hint="default"/>
      </w:rPr>
    </w:lvl>
    <w:lvl w:ilvl="2" w:tplc="041D0005">
      <w:start w:val="1"/>
      <w:numFmt w:val="bullet"/>
      <w:lvlText w:val=""/>
      <w:lvlJc w:val="left"/>
      <w:pPr>
        <w:ind w:left="1260" w:hanging="420"/>
      </w:pPr>
      <w:rPr>
        <w:rFonts w:ascii="Wingdings" w:hAnsi="Wingdings" w:hint="default"/>
      </w:rPr>
    </w:lvl>
    <w:lvl w:ilvl="3" w:tplc="EB06F990">
      <w:start w:val="1"/>
      <w:numFmt w:val="bullet"/>
      <w:lvlText w:val="-"/>
      <w:lvlJc w:val="left"/>
      <w:pPr>
        <w:ind w:left="1680" w:hanging="420"/>
      </w:pPr>
      <w:rPr>
        <w:rFonts w:ascii="Times New Roman" w:eastAsia="SimSun" w:hAnsi="Times New Roman" w:cs="Times New Roman" w:hint="default"/>
      </w:rPr>
    </w:lvl>
    <w:lvl w:ilvl="4" w:tplc="C4F69084">
      <w:start w:val="1"/>
      <w:numFmt w:val="bullet"/>
      <w:lvlText w:val="­"/>
      <w:lvlJc w:val="left"/>
      <w:pPr>
        <w:ind w:left="2100" w:hanging="420"/>
      </w:pPr>
      <w:rPr>
        <w:rFonts w:ascii="SimSun" w:eastAsia="SimSun" w:hAnsi="SimSun" w:hint="eastAsia"/>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A131407"/>
    <w:multiLevelType w:val="hybridMultilevel"/>
    <w:tmpl w:val="616033C2"/>
    <w:lvl w:ilvl="0" w:tplc="64D6EAB4">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BB828FF"/>
    <w:multiLevelType w:val="hybridMultilevel"/>
    <w:tmpl w:val="E0689E02"/>
    <w:lvl w:ilvl="0" w:tplc="2E864088">
      <w:start w:val="1"/>
      <w:numFmt w:val="bullet"/>
      <w:lvlText w:val="•"/>
      <w:lvlJc w:val="left"/>
      <w:pPr>
        <w:tabs>
          <w:tab w:val="num" w:pos="360"/>
        </w:tabs>
        <w:ind w:left="360" w:hanging="360"/>
      </w:pPr>
      <w:rPr>
        <w:rFonts w:ascii="Arial" w:hAnsi="Arial" w:hint="default"/>
      </w:rPr>
    </w:lvl>
    <w:lvl w:ilvl="1" w:tplc="0396D124">
      <w:start w:val="3972"/>
      <w:numFmt w:val="bullet"/>
      <w:lvlText w:val="–"/>
      <w:lvlJc w:val="left"/>
      <w:pPr>
        <w:tabs>
          <w:tab w:val="num" w:pos="1080"/>
        </w:tabs>
        <w:ind w:left="1080" w:hanging="360"/>
      </w:pPr>
      <w:rPr>
        <w:rFonts w:ascii="Arial" w:hAnsi="Arial" w:hint="default"/>
      </w:rPr>
    </w:lvl>
    <w:lvl w:ilvl="2" w:tplc="DB387298" w:tentative="1">
      <w:start w:val="1"/>
      <w:numFmt w:val="bullet"/>
      <w:lvlText w:val="•"/>
      <w:lvlJc w:val="left"/>
      <w:pPr>
        <w:tabs>
          <w:tab w:val="num" w:pos="1800"/>
        </w:tabs>
        <w:ind w:left="1800" w:hanging="360"/>
      </w:pPr>
      <w:rPr>
        <w:rFonts w:ascii="Arial" w:hAnsi="Arial" w:hint="default"/>
      </w:rPr>
    </w:lvl>
    <w:lvl w:ilvl="3" w:tplc="B06CB344" w:tentative="1">
      <w:start w:val="1"/>
      <w:numFmt w:val="bullet"/>
      <w:lvlText w:val="•"/>
      <w:lvlJc w:val="left"/>
      <w:pPr>
        <w:tabs>
          <w:tab w:val="num" w:pos="2520"/>
        </w:tabs>
        <w:ind w:left="2520" w:hanging="360"/>
      </w:pPr>
      <w:rPr>
        <w:rFonts w:ascii="Arial" w:hAnsi="Arial" w:hint="default"/>
      </w:rPr>
    </w:lvl>
    <w:lvl w:ilvl="4" w:tplc="E970F57A" w:tentative="1">
      <w:start w:val="1"/>
      <w:numFmt w:val="bullet"/>
      <w:lvlText w:val="•"/>
      <w:lvlJc w:val="left"/>
      <w:pPr>
        <w:tabs>
          <w:tab w:val="num" w:pos="3240"/>
        </w:tabs>
        <w:ind w:left="3240" w:hanging="360"/>
      </w:pPr>
      <w:rPr>
        <w:rFonts w:ascii="Arial" w:hAnsi="Arial" w:hint="default"/>
      </w:rPr>
    </w:lvl>
    <w:lvl w:ilvl="5" w:tplc="112077E4" w:tentative="1">
      <w:start w:val="1"/>
      <w:numFmt w:val="bullet"/>
      <w:lvlText w:val="•"/>
      <w:lvlJc w:val="left"/>
      <w:pPr>
        <w:tabs>
          <w:tab w:val="num" w:pos="3960"/>
        </w:tabs>
        <w:ind w:left="3960" w:hanging="360"/>
      </w:pPr>
      <w:rPr>
        <w:rFonts w:ascii="Arial" w:hAnsi="Arial" w:hint="default"/>
      </w:rPr>
    </w:lvl>
    <w:lvl w:ilvl="6" w:tplc="CE24E718" w:tentative="1">
      <w:start w:val="1"/>
      <w:numFmt w:val="bullet"/>
      <w:lvlText w:val="•"/>
      <w:lvlJc w:val="left"/>
      <w:pPr>
        <w:tabs>
          <w:tab w:val="num" w:pos="4680"/>
        </w:tabs>
        <w:ind w:left="4680" w:hanging="360"/>
      </w:pPr>
      <w:rPr>
        <w:rFonts w:ascii="Arial" w:hAnsi="Arial" w:hint="default"/>
      </w:rPr>
    </w:lvl>
    <w:lvl w:ilvl="7" w:tplc="35964862" w:tentative="1">
      <w:start w:val="1"/>
      <w:numFmt w:val="bullet"/>
      <w:lvlText w:val="•"/>
      <w:lvlJc w:val="left"/>
      <w:pPr>
        <w:tabs>
          <w:tab w:val="num" w:pos="5400"/>
        </w:tabs>
        <w:ind w:left="5400" w:hanging="360"/>
      </w:pPr>
      <w:rPr>
        <w:rFonts w:ascii="Arial" w:hAnsi="Arial" w:hint="default"/>
      </w:rPr>
    </w:lvl>
    <w:lvl w:ilvl="8" w:tplc="4C6E7D9C" w:tentative="1">
      <w:start w:val="1"/>
      <w:numFmt w:val="bullet"/>
      <w:lvlText w:val="•"/>
      <w:lvlJc w:val="left"/>
      <w:pPr>
        <w:tabs>
          <w:tab w:val="num" w:pos="6120"/>
        </w:tabs>
        <w:ind w:left="6120" w:hanging="360"/>
      </w:pPr>
      <w:rPr>
        <w:rFonts w:ascii="Arial" w:hAnsi="Arial" w:hint="default"/>
      </w:rPr>
    </w:lvl>
  </w:abstractNum>
  <w:abstractNum w:abstractNumId="13" w15:restartNumberingAfterBreak="0">
    <w:nsid w:val="1BFF37EF"/>
    <w:multiLevelType w:val="hybridMultilevel"/>
    <w:tmpl w:val="05EA1DF6"/>
    <w:lvl w:ilvl="0" w:tplc="04090001">
      <w:start w:val="1"/>
      <w:numFmt w:val="bullet"/>
      <w:lvlText w:val=""/>
      <w:lvlJc w:val="left"/>
      <w:pPr>
        <w:ind w:left="825" w:hanging="360"/>
      </w:pPr>
      <w:rPr>
        <w:rFonts w:ascii="Symbol" w:hAnsi="Symbol" w:hint="default"/>
      </w:rPr>
    </w:lvl>
    <w:lvl w:ilvl="1" w:tplc="04090003">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14" w15:restartNumberingAfterBreak="0">
    <w:nsid w:val="1DCC5A0B"/>
    <w:multiLevelType w:val="hybridMultilevel"/>
    <w:tmpl w:val="1DA0CC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171157F"/>
    <w:multiLevelType w:val="hybridMultilevel"/>
    <w:tmpl w:val="97503CE2"/>
    <w:lvl w:ilvl="0" w:tplc="3CF01BCA">
      <w:start w:val="1"/>
      <w:numFmt w:val="bullet"/>
      <w:lvlText w:val="•"/>
      <w:lvlJc w:val="left"/>
      <w:pPr>
        <w:tabs>
          <w:tab w:val="num" w:pos="720"/>
        </w:tabs>
        <w:ind w:left="720" w:hanging="360"/>
      </w:pPr>
      <w:rPr>
        <w:rFonts w:ascii="Arial" w:hAnsi="Arial" w:hint="default"/>
      </w:rPr>
    </w:lvl>
    <w:lvl w:ilvl="1" w:tplc="85BAD2D2">
      <w:start w:val="210"/>
      <w:numFmt w:val="bullet"/>
      <w:lvlText w:val="–"/>
      <w:lvlJc w:val="left"/>
      <w:pPr>
        <w:tabs>
          <w:tab w:val="num" w:pos="1440"/>
        </w:tabs>
        <w:ind w:left="1440" w:hanging="360"/>
      </w:pPr>
      <w:rPr>
        <w:rFonts w:ascii="Arial" w:hAnsi="Arial" w:hint="default"/>
      </w:rPr>
    </w:lvl>
    <w:lvl w:ilvl="2" w:tplc="55061FDE" w:tentative="1">
      <w:start w:val="1"/>
      <w:numFmt w:val="bullet"/>
      <w:lvlText w:val="•"/>
      <w:lvlJc w:val="left"/>
      <w:pPr>
        <w:tabs>
          <w:tab w:val="num" w:pos="2160"/>
        </w:tabs>
        <w:ind w:left="2160" w:hanging="360"/>
      </w:pPr>
      <w:rPr>
        <w:rFonts w:ascii="Arial" w:hAnsi="Arial" w:hint="default"/>
      </w:rPr>
    </w:lvl>
    <w:lvl w:ilvl="3" w:tplc="F416756E" w:tentative="1">
      <w:start w:val="1"/>
      <w:numFmt w:val="bullet"/>
      <w:lvlText w:val="•"/>
      <w:lvlJc w:val="left"/>
      <w:pPr>
        <w:tabs>
          <w:tab w:val="num" w:pos="2880"/>
        </w:tabs>
        <w:ind w:left="2880" w:hanging="360"/>
      </w:pPr>
      <w:rPr>
        <w:rFonts w:ascii="Arial" w:hAnsi="Arial" w:hint="default"/>
      </w:rPr>
    </w:lvl>
    <w:lvl w:ilvl="4" w:tplc="954E6AD0" w:tentative="1">
      <w:start w:val="1"/>
      <w:numFmt w:val="bullet"/>
      <w:lvlText w:val="•"/>
      <w:lvlJc w:val="left"/>
      <w:pPr>
        <w:tabs>
          <w:tab w:val="num" w:pos="3600"/>
        </w:tabs>
        <w:ind w:left="3600" w:hanging="360"/>
      </w:pPr>
      <w:rPr>
        <w:rFonts w:ascii="Arial" w:hAnsi="Arial" w:hint="default"/>
      </w:rPr>
    </w:lvl>
    <w:lvl w:ilvl="5" w:tplc="08F85A78" w:tentative="1">
      <w:start w:val="1"/>
      <w:numFmt w:val="bullet"/>
      <w:lvlText w:val="•"/>
      <w:lvlJc w:val="left"/>
      <w:pPr>
        <w:tabs>
          <w:tab w:val="num" w:pos="4320"/>
        </w:tabs>
        <w:ind w:left="4320" w:hanging="360"/>
      </w:pPr>
      <w:rPr>
        <w:rFonts w:ascii="Arial" w:hAnsi="Arial" w:hint="default"/>
      </w:rPr>
    </w:lvl>
    <w:lvl w:ilvl="6" w:tplc="22EAEAF4" w:tentative="1">
      <w:start w:val="1"/>
      <w:numFmt w:val="bullet"/>
      <w:lvlText w:val="•"/>
      <w:lvlJc w:val="left"/>
      <w:pPr>
        <w:tabs>
          <w:tab w:val="num" w:pos="5040"/>
        </w:tabs>
        <w:ind w:left="5040" w:hanging="360"/>
      </w:pPr>
      <w:rPr>
        <w:rFonts w:ascii="Arial" w:hAnsi="Arial" w:hint="default"/>
      </w:rPr>
    </w:lvl>
    <w:lvl w:ilvl="7" w:tplc="249CFC5A" w:tentative="1">
      <w:start w:val="1"/>
      <w:numFmt w:val="bullet"/>
      <w:lvlText w:val="•"/>
      <w:lvlJc w:val="left"/>
      <w:pPr>
        <w:tabs>
          <w:tab w:val="num" w:pos="5760"/>
        </w:tabs>
        <w:ind w:left="5760" w:hanging="360"/>
      </w:pPr>
      <w:rPr>
        <w:rFonts w:ascii="Arial" w:hAnsi="Arial" w:hint="default"/>
      </w:rPr>
    </w:lvl>
    <w:lvl w:ilvl="8" w:tplc="B5A0588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A263636"/>
    <w:multiLevelType w:val="hybridMultilevel"/>
    <w:tmpl w:val="D10C76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DA3100A"/>
    <w:multiLevelType w:val="hybridMultilevel"/>
    <w:tmpl w:val="01B846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F1F78D9"/>
    <w:multiLevelType w:val="hybridMultilevel"/>
    <w:tmpl w:val="D354D6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0E57D35"/>
    <w:multiLevelType w:val="hybridMultilevel"/>
    <w:tmpl w:val="8124B0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2E41001"/>
    <w:multiLevelType w:val="hybridMultilevel"/>
    <w:tmpl w:val="33A6F5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F79341C"/>
    <w:multiLevelType w:val="hybridMultilevel"/>
    <w:tmpl w:val="CD6890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283"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4231027A"/>
    <w:multiLevelType w:val="hybridMultilevel"/>
    <w:tmpl w:val="7400C0DE"/>
    <w:lvl w:ilvl="0" w:tplc="BF92BB26">
      <w:start w:val="1"/>
      <w:numFmt w:val="bullet"/>
      <w:lvlText w:val="•"/>
      <w:lvlJc w:val="left"/>
      <w:pPr>
        <w:tabs>
          <w:tab w:val="num" w:pos="720"/>
        </w:tabs>
        <w:ind w:left="720" w:hanging="360"/>
      </w:pPr>
      <w:rPr>
        <w:rFonts w:ascii="Arial" w:hAnsi="Arial" w:hint="default"/>
      </w:rPr>
    </w:lvl>
    <w:lvl w:ilvl="1" w:tplc="2D86C306">
      <w:start w:val="110"/>
      <w:numFmt w:val="bullet"/>
      <w:lvlText w:val="–"/>
      <w:lvlJc w:val="left"/>
      <w:pPr>
        <w:tabs>
          <w:tab w:val="num" w:pos="1440"/>
        </w:tabs>
        <w:ind w:left="1440" w:hanging="360"/>
      </w:pPr>
      <w:rPr>
        <w:rFonts w:ascii="Arial" w:hAnsi="Arial" w:hint="default"/>
      </w:rPr>
    </w:lvl>
    <w:lvl w:ilvl="2" w:tplc="4D6A5148" w:tentative="1">
      <w:start w:val="1"/>
      <w:numFmt w:val="bullet"/>
      <w:lvlText w:val="•"/>
      <w:lvlJc w:val="left"/>
      <w:pPr>
        <w:tabs>
          <w:tab w:val="num" w:pos="2160"/>
        </w:tabs>
        <w:ind w:left="2160" w:hanging="360"/>
      </w:pPr>
      <w:rPr>
        <w:rFonts w:ascii="Arial" w:hAnsi="Arial" w:hint="default"/>
      </w:rPr>
    </w:lvl>
    <w:lvl w:ilvl="3" w:tplc="936C23FA" w:tentative="1">
      <w:start w:val="1"/>
      <w:numFmt w:val="bullet"/>
      <w:lvlText w:val="•"/>
      <w:lvlJc w:val="left"/>
      <w:pPr>
        <w:tabs>
          <w:tab w:val="num" w:pos="2880"/>
        </w:tabs>
        <w:ind w:left="2880" w:hanging="360"/>
      </w:pPr>
      <w:rPr>
        <w:rFonts w:ascii="Arial" w:hAnsi="Arial" w:hint="default"/>
      </w:rPr>
    </w:lvl>
    <w:lvl w:ilvl="4" w:tplc="B2DEA122" w:tentative="1">
      <w:start w:val="1"/>
      <w:numFmt w:val="bullet"/>
      <w:lvlText w:val="•"/>
      <w:lvlJc w:val="left"/>
      <w:pPr>
        <w:tabs>
          <w:tab w:val="num" w:pos="3600"/>
        </w:tabs>
        <w:ind w:left="3600" w:hanging="360"/>
      </w:pPr>
      <w:rPr>
        <w:rFonts w:ascii="Arial" w:hAnsi="Arial" w:hint="default"/>
      </w:rPr>
    </w:lvl>
    <w:lvl w:ilvl="5" w:tplc="2BE42FA6" w:tentative="1">
      <w:start w:val="1"/>
      <w:numFmt w:val="bullet"/>
      <w:lvlText w:val="•"/>
      <w:lvlJc w:val="left"/>
      <w:pPr>
        <w:tabs>
          <w:tab w:val="num" w:pos="4320"/>
        </w:tabs>
        <w:ind w:left="4320" w:hanging="360"/>
      </w:pPr>
      <w:rPr>
        <w:rFonts w:ascii="Arial" w:hAnsi="Arial" w:hint="default"/>
      </w:rPr>
    </w:lvl>
    <w:lvl w:ilvl="6" w:tplc="3AEA7328" w:tentative="1">
      <w:start w:val="1"/>
      <w:numFmt w:val="bullet"/>
      <w:lvlText w:val="•"/>
      <w:lvlJc w:val="left"/>
      <w:pPr>
        <w:tabs>
          <w:tab w:val="num" w:pos="5040"/>
        </w:tabs>
        <w:ind w:left="5040" w:hanging="360"/>
      </w:pPr>
      <w:rPr>
        <w:rFonts w:ascii="Arial" w:hAnsi="Arial" w:hint="default"/>
      </w:rPr>
    </w:lvl>
    <w:lvl w:ilvl="7" w:tplc="5768CCE8" w:tentative="1">
      <w:start w:val="1"/>
      <w:numFmt w:val="bullet"/>
      <w:lvlText w:val="•"/>
      <w:lvlJc w:val="left"/>
      <w:pPr>
        <w:tabs>
          <w:tab w:val="num" w:pos="5760"/>
        </w:tabs>
        <w:ind w:left="5760" w:hanging="360"/>
      </w:pPr>
      <w:rPr>
        <w:rFonts w:ascii="Arial" w:hAnsi="Arial" w:hint="default"/>
      </w:rPr>
    </w:lvl>
    <w:lvl w:ilvl="8" w:tplc="5D66A778"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3067BFD"/>
    <w:multiLevelType w:val="hybridMultilevel"/>
    <w:tmpl w:val="E31C62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44F59F0"/>
    <w:multiLevelType w:val="multilevel"/>
    <w:tmpl w:val="8C2AA744"/>
    <w:lvl w:ilvl="0">
      <w:start w:val="1"/>
      <w:numFmt w:val="decimal"/>
      <w:pStyle w:val="Heading1"/>
      <w:lvlText w:val="%1."/>
      <w:lvlJc w:val="left"/>
      <w:pPr>
        <w:tabs>
          <w:tab w:val="num" w:pos="432"/>
        </w:tabs>
        <w:ind w:left="432" w:hanging="432"/>
      </w:pPr>
      <w:rPr>
        <w:rFonts w:hint="default"/>
      </w:rPr>
    </w:lvl>
    <w:lvl w:ilvl="1">
      <w:start w:val="1"/>
      <w:numFmt w:val="decimal"/>
      <w:pStyle w:val="Heading2"/>
      <w:suff w:val="nothing"/>
      <w:lvlText w:val="%1.%2."/>
      <w:lvlJc w:val="left"/>
      <w:pPr>
        <w:ind w:left="-32767" w:firstLine="32767"/>
      </w:pPr>
      <w:rPr>
        <w:rFonts w:hint="default"/>
      </w:rPr>
    </w:lvl>
    <w:lvl w:ilvl="2">
      <w:start w:val="1"/>
      <w:numFmt w:val="decimal"/>
      <w:pStyle w:val="Heading3"/>
      <w:lvlText w:val="%1.%2.%3."/>
      <w:lvlJc w:val="left"/>
      <w:pPr>
        <w:tabs>
          <w:tab w:val="num" w:pos="16444"/>
        </w:tabs>
        <w:ind w:left="16444" w:hanging="432"/>
      </w:pPr>
      <w:rPr>
        <w:rFonts w:hint="default"/>
      </w:rPr>
    </w:lvl>
    <w:lvl w:ilvl="3">
      <w:start w:val="1"/>
      <w:numFmt w:val="none"/>
      <w:pStyle w:val="Heading4"/>
      <w:lvlText w:val=""/>
      <w:lvlJc w:val="left"/>
      <w:pPr>
        <w:tabs>
          <w:tab w:val="num" w:pos="24450"/>
        </w:tabs>
        <w:ind w:left="24450" w:hanging="432"/>
      </w:pPr>
      <w:rPr>
        <w:rFonts w:hint="default"/>
      </w:rPr>
    </w:lvl>
    <w:lvl w:ilvl="4">
      <w:start w:val="1"/>
      <w:numFmt w:val="decimal"/>
      <w:lvlText w:val="%5.%1.%2.%3%4."/>
      <w:lvlJc w:val="left"/>
      <w:pPr>
        <w:tabs>
          <w:tab w:val="num" w:pos="31680"/>
        </w:tabs>
        <w:ind w:left="31680" w:firstLine="0"/>
      </w:pPr>
      <w:rPr>
        <w:rFonts w:hint="default"/>
      </w:rPr>
    </w:lvl>
    <w:lvl w:ilvl="5">
      <w:start w:val="1"/>
      <w:numFmt w:val="decimal"/>
      <w:lvlRestart w:val="0"/>
      <w:pStyle w:val="Heading5"/>
      <w:lvlText w:val="%1.%2.%3.%4%5.%6"/>
      <w:lvlJc w:val="left"/>
      <w:pPr>
        <w:tabs>
          <w:tab w:val="num" w:pos="31680"/>
        </w:tabs>
        <w:ind w:left="31680" w:firstLine="0"/>
      </w:pPr>
      <w:rPr>
        <w:rFonts w:hint="default"/>
      </w:rPr>
    </w:lvl>
    <w:lvl w:ilvl="6">
      <w:start w:val="1"/>
      <w:numFmt w:val="decimal"/>
      <w:pStyle w:val="Heading7"/>
      <w:lvlText w:val="%1.%2.%3.%4.%5.%6.%7"/>
      <w:lvlJc w:val="left"/>
      <w:pPr>
        <w:tabs>
          <w:tab w:val="num" w:pos="31680"/>
        </w:tabs>
        <w:ind w:left="31680" w:firstLine="0"/>
      </w:pPr>
      <w:rPr>
        <w:rFonts w:hint="default"/>
      </w:rPr>
    </w:lvl>
    <w:lvl w:ilvl="7">
      <w:start w:val="1"/>
      <w:numFmt w:val="decimal"/>
      <w:pStyle w:val="Heading8"/>
      <w:lvlText w:val="%1.%2.%3.%4.%5.%6.%7.%8"/>
      <w:lvlJc w:val="left"/>
      <w:pPr>
        <w:tabs>
          <w:tab w:val="num" w:pos="31680"/>
        </w:tabs>
        <w:ind w:left="31680" w:firstLine="0"/>
      </w:pPr>
      <w:rPr>
        <w:rFonts w:hint="default"/>
      </w:rPr>
    </w:lvl>
    <w:lvl w:ilvl="8">
      <w:start w:val="1"/>
      <w:numFmt w:val="decimal"/>
      <w:pStyle w:val="Heading9"/>
      <w:lvlText w:val="%1.%2.%3.%4.%5.%6.%7.%8.%9"/>
      <w:lvlJc w:val="left"/>
      <w:pPr>
        <w:tabs>
          <w:tab w:val="num" w:pos="31680"/>
        </w:tabs>
        <w:ind w:left="31680" w:firstLine="0"/>
      </w:pPr>
      <w:rPr>
        <w:rFonts w:hint="default"/>
      </w:rPr>
    </w:lvl>
  </w:abstractNum>
  <w:abstractNum w:abstractNumId="27" w15:restartNumberingAfterBreak="0">
    <w:nsid w:val="44E13F3E"/>
    <w:multiLevelType w:val="hybridMultilevel"/>
    <w:tmpl w:val="F47604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5EF1D61"/>
    <w:multiLevelType w:val="hybridMultilevel"/>
    <w:tmpl w:val="ADFAEDD8"/>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29" w15:restartNumberingAfterBreak="0">
    <w:nsid w:val="47A97523"/>
    <w:multiLevelType w:val="hybridMultilevel"/>
    <w:tmpl w:val="1C94AB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B3574F4"/>
    <w:multiLevelType w:val="hybridMultilevel"/>
    <w:tmpl w:val="FBC0C2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DA91856"/>
    <w:multiLevelType w:val="hybridMultilevel"/>
    <w:tmpl w:val="953EE5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8613CBD"/>
    <w:multiLevelType w:val="hybridMultilevel"/>
    <w:tmpl w:val="AABC99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A071801"/>
    <w:multiLevelType w:val="hybridMultilevel"/>
    <w:tmpl w:val="38D231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B2D2933"/>
    <w:multiLevelType w:val="hybridMultilevel"/>
    <w:tmpl w:val="AD7A96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F7441EE"/>
    <w:multiLevelType w:val="hybridMultilevel"/>
    <w:tmpl w:val="F54E51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F8949B5"/>
    <w:multiLevelType w:val="hybridMultilevel"/>
    <w:tmpl w:val="C20E3486"/>
    <w:lvl w:ilvl="0" w:tplc="40AA170E">
      <w:start w:val="1"/>
      <w:numFmt w:val="bullet"/>
      <w:lvlText w:val="•"/>
      <w:lvlJc w:val="left"/>
      <w:pPr>
        <w:tabs>
          <w:tab w:val="num" w:pos="720"/>
        </w:tabs>
        <w:ind w:left="720" w:hanging="360"/>
      </w:pPr>
      <w:rPr>
        <w:rFonts w:ascii="Arial" w:hAnsi="Arial" w:hint="default"/>
      </w:rPr>
    </w:lvl>
    <w:lvl w:ilvl="1" w:tplc="C16A972C">
      <w:start w:val="22177"/>
      <w:numFmt w:val="bullet"/>
      <w:lvlText w:val="–"/>
      <w:lvlJc w:val="left"/>
      <w:pPr>
        <w:tabs>
          <w:tab w:val="num" w:pos="1440"/>
        </w:tabs>
        <w:ind w:left="1440" w:hanging="360"/>
      </w:pPr>
      <w:rPr>
        <w:rFonts w:ascii="Arial" w:hAnsi="Arial" w:hint="default"/>
      </w:rPr>
    </w:lvl>
    <w:lvl w:ilvl="2" w:tplc="020020AC">
      <w:start w:val="22177"/>
      <w:numFmt w:val="bullet"/>
      <w:lvlText w:val="•"/>
      <w:lvlJc w:val="left"/>
      <w:pPr>
        <w:tabs>
          <w:tab w:val="num" w:pos="2160"/>
        </w:tabs>
        <w:ind w:left="2160" w:hanging="360"/>
      </w:pPr>
      <w:rPr>
        <w:rFonts w:ascii="Arial" w:hAnsi="Arial" w:hint="default"/>
      </w:rPr>
    </w:lvl>
    <w:lvl w:ilvl="3" w:tplc="DD361500" w:tentative="1">
      <w:start w:val="1"/>
      <w:numFmt w:val="bullet"/>
      <w:lvlText w:val="•"/>
      <w:lvlJc w:val="left"/>
      <w:pPr>
        <w:tabs>
          <w:tab w:val="num" w:pos="2880"/>
        </w:tabs>
        <w:ind w:left="2880" w:hanging="360"/>
      </w:pPr>
      <w:rPr>
        <w:rFonts w:ascii="Arial" w:hAnsi="Arial" w:hint="default"/>
      </w:rPr>
    </w:lvl>
    <w:lvl w:ilvl="4" w:tplc="247C27C6" w:tentative="1">
      <w:start w:val="1"/>
      <w:numFmt w:val="bullet"/>
      <w:lvlText w:val="•"/>
      <w:lvlJc w:val="left"/>
      <w:pPr>
        <w:tabs>
          <w:tab w:val="num" w:pos="3600"/>
        </w:tabs>
        <w:ind w:left="3600" w:hanging="360"/>
      </w:pPr>
      <w:rPr>
        <w:rFonts w:ascii="Arial" w:hAnsi="Arial" w:hint="default"/>
      </w:rPr>
    </w:lvl>
    <w:lvl w:ilvl="5" w:tplc="46384992" w:tentative="1">
      <w:start w:val="1"/>
      <w:numFmt w:val="bullet"/>
      <w:lvlText w:val="•"/>
      <w:lvlJc w:val="left"/>
      <w:pPr>
        <w:tabs>
          <w:tab w:val="num" w:pos="4320"/>
        </w:tabs>
        <w:ind w:left="4320" w:hanging="360"/>
      </w:pPr>
      <w:rPr>
        <w:rFonts w:ascii="Arial" w:hAnsi="Arial" w:hint="default"/>
      </w:rPr>
    </w:lvl>
    <w:lvl w:ilvl="6" w:tplc="B7EA1F66" w:tentative="1">
      <w:start w:val="1"/>
      <w:numFmt w:val="bullet"/>
      <w:lvlText w:val="•"/>
      <w:lvlJc w:val="left"/>
      <w:pPr>
        <w:tabs>
          <w:tab w:val="num" w:pos="5040"/>
        </w:tabs>
        <w:ind w:left="5040" w:hanging="360"/>
      </w:pPr>
      <w:rPr>
        <w:rFonts w:ascii="Arial" w:hAnsi="Arial" w:hint="default"/>
      </w:rPr>
    </w:lvl>
    <w:lvl w:ilvl="7" w:tplc="036E0ED4" w:tentative="1">
      <w:start w:val="1"/>
      <w:numFmt w:val="bullet"/>
      <w:lvlText w:val="•"/>
      <w:lvlJc w:val="left"/>
      <w:pPr>
        <w:tabs>
          <w:tab w:val="num" w:pos="5760"/>
        </w:tabs>
        <w:ind w:left="5760" w:hanging="360"/>
      </w:pPr>
      <w:rPr>
        <w:rFonts w:ascii="Arial" w:hAnsi="Arial" w:hint="default"/>
      </w:rPr>
    </w:lvl>
    <w:lvl w:ilvl="8" w:tplc="2C2AA30A"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3A50CB1"/>
    <w:multiLevelType w:val="hybridMultilevel"/>
    <w:tmpl w:val="4BB49ED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4636D15"/>
    <w:multiLevelType w:val="hybridMultilevel"/>
    <w:tmpl w:val="F70E6E60"/>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9" w15:restartNumberingAfterBreak="0">
    <w:nsid w:val="6B503141"/>
    <w:multiLevelType w:val="hybridMultilevel"/>
    <w:tmpl w:val="A3CE88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B5F5D93"/>
    <w:multiLevelType w:val="hybridMultilevel"/>
    <w:tmpl w:val="1EFC34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2"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4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FE42516"/>
    <w:multiLevelType w:val="hybridMultilevel"/>
    <w:tmpl w:val="01128A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FF24793"/>
    <w:multiLevelType w:val="hybridMultilevel"/>
    <w:tmpl w:val="4B267B6A"/>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6"/>
  </w:num>
  <w:num w:numId="2">
    <w:abstractNumId w:val="41"/>
  </w:num>
  <w:num w:numId="3">
    <w:abstractNumId w:val="43"/>
  </w:num>
  <w:num w:numId="4">
    <w:abstractNumId w:val="16"/>
  </w:num>
  <w:num w:numId="5">
    <w:abstractNumId w:val="1"/>
    <w:lvlOverride w:ilvl="0">
      <w:lvl w:ilvl="0">
        <w:start w:val="1"/>
        <w:numFmt w:val="bullet"/>
        <w:pStyle w:val="CharChar3CharCharCharCharCharChar"/>
        <w:lvlText w:val=""/>
        <w:legacy w:legacy="1" w:legacySpace="0" w:legacyIndent="283"/>
        <w:lvlJc w:val="left"/>
        <w:pPr>
          <w:ind w:left="567" w:hanging="283"/>
        </w:pPr>
        <w:rPr>
          <w:rFonts w:ascii="Symbol" w:hAnsi="Symbol" w:hint="default"/>
        </w:rPr>
      </w:lvl>
    </w:lvlOverride>
  </w:num>
  <w:num w:numId="6">
    <w:abstractNumId w:val="0"/>
  </w:num>
  <w:num w:numId="7">
    <w:abstractNumId w:val="15"/>
  </w:num>
  <w:num w:numId="8">
    <w:abstractNumId w:val="11"/>
  </w:num>
  <w:num w:numId="9">
    <w:abstractNumId w:val="30"/>
  </w:num>
  <w:num w:numId="10">
    <w:abstractNumId w:val="6"/>
  </w:num>
  <w:num w:numId="11">
    <w:abstractNumId w:val="24"/>
  </w:num>
  <w:num w:numId="12">
    <w:abstractNumId w:val="10"/>
  </w:num>
  <w:num w:numId="13">
    <w:abstractNumId w:val="20"/>
  </w:num>
  <w:num w:numId="14">
    <w:abstractNumId w:val="3"/>
  </w:num>
  <w:num w:numId="15">
    <w:abstractNumId w:val="45"/>
  </w:num>
  <w:num w:numId="16">
    <w:abstractNumId w:val="36"/>
  </w:num>
  <w:num w:numId="17">
    <w:abstractNumId w:val="12"/>
  </w:num>
  <w:num w:numId="18">
    <w:abstractNumId w:val="44"/>
  </w:num>
  <w:num w:numId="19">
    <w:abstractNumId w:val="35"/>
  </w:num>
  <w:num w:numId="20">
    <w:abstractNumId w:val="19"/>
  </w:num>
  <w:num w:numId="21">
    <w:abstractNumId w:val="37"/>
  </w:num>
  <w:num w:numId="22">
    <w:abstractNumId w:val="34"/>
  </w:num>
  <w:num w:numId="23">
    <w:abstractNumId w:val="7"/>
  </w:num>
  <w:num w:numId="24">
    <w:abstractNumId w:val="1"/>
    <w:lvlOverride w:ilvl="0">
      <w:lvl w:ilvl="0">
        <w:start w:val="1"/>
        <w:numFmt w:val="bullet"/>
        <w:pStyle w:val="CharChar3CharCharCharCharCharChar"/>
        <w:lvlText w:val=""/>
        <w:legacy w:legacy="1" w:legacySpace="0" w:legacyIndent="360"/>
        <w:lvlJc w:val="left"/>
        <w:pPr>
          <w:ind w:left="360" w:hanging="360"/>
        </w:pPr>
        <w:rPr>
          <w:rFonts w:ascii="Symbol" w:hAnsi="Symbol" w:hint="default"/>
        </w:rPr>
      </w:lvl>
    </w:lvlOverride>
  </w:num>
  <w:num w:numId="25">
    <w:abstractNumId w:val="38"/>
  </w:num>
  <w:num w:numId="26">
    <w:abstractNumId w:val="42"/>
  </w:num>
  <w:num w:numId="27">
    <w:abstractNumId w:val="8"/>
  </w:num>
  <w:num w:numId="28">
    <w:abstractNumId w:val="39"/>
  </w:num>
  <w:num w:numId="29">
    <w:abstractNumId w:val="25"/>
  </w:num>
  <w:num w:numId="30">
    <w:abstractNumId w:val="18"/>
  </w:num>
  <w:num w:numId="31">
    <w:abstractNumId w:val="33"/>
  </w:num>
  <w:num w:numId="32">
    <w:abstractNumId w:val="14"/>
  </w:num>
  <w:num w:numId="33">
    <w:abstractNumId w:val="4"/>
  </w:num>
  <w:num w:numId="34">
    <w:abstractNumId w:val="17"/>
  </w:num>
  <w:num w:numId="35">
    <w:abstractNumId w:val="23"/>
  </w:num>
  <w:num w:numId="36">
    <w:abstractNumId w:val="32"/>
  </w:num>
  <w:num w:numId="37">
    <w:abstractNumId w:val="5"/>
  </w:num>
  <w:num w:numId="38">
    <w:abstractNumId w:val="2"/>
  </w:num>
  <w:num w:numId="39">
    <w:abstractNumId w:val="40"/>
  </w:num>
  <w:num w:numId="40">
    <w:abstractNumId w:val="9"/>
  </w:num>
  <w:num w:numId="41">
    <w:abstractNumId w:val="29"/>
  </w:num>
  <w:num w:numId="42">
    <w:abstractNumId w:val="22"/>
  </w:num>
  <w:num w:numId="43">
    <w:abstractNumId w:val="31"/>
  </w:num>
  <w:num w:numId="44">
    <w:abstractNumId w:val="21"/>
  </w:num>
  <w:num w:numId="45">
    <w:abstractNumId w:val="28"/>
  </w:num>
  <w:num w:numId="46">
    <w:abstractNumId w:val="13"/>
  </w:num>
  <w:num w:numId="47">
    <w:abstractNumId w:val="2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uppressTopSpacing/>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196"/>
    <w:rsid w:val="00000910"/>
    <w:rsid w:val="00000A54"/>
    <w:rsid w:val="00000D98"/>
    <w:rsid w:val="00001021"/>
    <w:rsid w:val="0000152A"/>
    <w:rsid w:val="0000169D"/>
    <w:rsid w:val="000018A0"/>
    <w:rsid w:val="00001A41"/>
    <w:rsid w:val="00001D61"/>
    <w:rsid w:val="00001E8F"/>
    <w:rsid w:val="00001FFD"/>
    <w:rsid w:val="00002CD1"/>
    <w:rsid w:val="00002E74"/>
    <w:rsid w:val="0000301D"/>
    <w:rsid w:val="000032C1"/>
    <w:rsid w:val="0000341B"/>
    <w:rsid w:val="0000341E"/>
    <w:rsid w:val="00003531"/>
    <w:rsid w:val="000036E7"/>
    <w:rsid w:val="00003883"/>
    <w:rsid w:val="00003ED3"/>
    <w:rsid w:val="00004006"/>
    <w:rsid w:val="0000443A"/>
    <w:rsid w:val="000045C2"/>
    <w:rsid w:val="000045F3"/>
    <w:rsid w:val="0000481B"/>
    <w:rsid w:val="00004E62"/>
    <w:rsid w:val="000058D4"/>
    <w:rsid w:val="00005BDE"/>
    <w:rsid w:val="00006110"/>
    <w:rsid w:val="00006198"/>
    <w:rsid w:val="0000667F"/>
    <w:rsid w:val="00006C4A"/>
    <w:rsid w:val="00006C8A"/>
    <w:rsid w:val="00006F33"/>
    <w:rsid w:val="000070D3"/>
    <w:rsid w:val="00007766"/>
    <w:rsid w:val="00007D9E"/>
    <w:rsid w:val="00010283"/>
    <w:rsid w:val="00010342"/>
    <w:rsid w:val="0001034A"/>
    <w:rsid w:val="00010367"/>
    <w:rsid w:val="00010EE0"/>
    <w:rsid w:val="00011027"/>
    <w:rsid w:val="000110F8"/>
    <w:rsid w:val="000115E6"/>
    <w:rsid w:val="0001181D"/>
    <w:rsid w:val="00011C44"/>
    <w:rsid w:val="000123B2"/>
    <w:rsid w:val="0001245D"/>
    <w:rsid w:val="000126F8"/>
    <w:rsid w:val="00012839"/>
    <w:rsid w:val="000129BF"/>
    <w:rsid w:val="00012B92"/>
    <w:rsid w:val="00012F98"/>
    <w:rsid w:val="00013004"/>
    <w:rsid w:val="00013333"/>
    <w:rsid w:val="000138F3"/>
    <w:rsid w:val="00013A12"/>
    <w:rsid w:val="00013DD7"/>
    <w:rsid w:val="00013E66"/>
    <w:rsid w:val="00013ED9"/>
    <w:rsid w:val="000140FD"/>
    <w:rsid w:val="00014611"/>
    <w:rsid w:val="0001465F"/>
    <w:rsid w:val="00014D51"/>
    <w:rsid w:val="00014FFF"/>
    <w:rsid w:val="0001514A"/>
    <w:rsid w:val="00015595"/>
    <w:rsid w:val="00015794"/>
    <w:rsid w:val="00015CF2"/>
    <w:rsid w:val="000161E5"/>
    <w:rsid w:val="000167F5"/>
    <w:rsid w:val="00016A10"/>
    <w:rsid w:val="00016A3A"/>
    <w:rsid w:val="00016AA1"/>
    <w:rsid w:val="00016FCA"/>
    <w:rsid w:val="00016FE6"/>
    <w:rsid w:val="00017422"/>
    <w:rsid w:val="00017A58"/>
    <w:rsid w:val="000204C8"/>
    <w:rsid w:val="00020690"/>
    <w:rsid w:val="0002087D"/>
    <w:rsid w:val="00020BD6"/>
    <w:rsid w:val="00020CDD"/>
    <w:rsid w:val="00020E38"/>
    <w:rsid w:val="00021396"/>
    <w:rsid w:val="0002169F"/>
    <w:rsid w:val="0002180A"/>
    <w:rsid w:val="0002183C"/>
    <w:rsid w:val="0002232D"/>
    <w:rsid w:val="000223E8"/>
    <w:rsid w:val="00022625"/>
    <w:rsid w:val="00022A0D"/>
    <w:rsid w:val="00022CCB"/>
    <w:rsid w:val="00023990"/>
    <w:rsid w:val="000239F5"/>
    <w:rsid w:val="00023AE6"/>
    <w:rsid w:val="00023C59"/>
    <w:rsid w:val="0002411A"/>
    <w:rsid w:val="00024216"/>
    <w:rsid w:val="000246F5"/>
    <w:rsid w:val="000248EA"/>
    <w:rsid w:val="00024BF2"/>
    <w:rsid w:val="00024C52"/>
    <w:rsid w:val="0002664B"/>
    <w:rsid w:val="00026A7C"/>
    <w:rsid w:val="00026BDF"/>
    <w:rsid w:val="00026DB4"/>
    <w:rsid w:val="00026E27"/>
    <w:rsid w:val="00027229"/>
    <w:rsid w:val="0002755A"/>
    <w:rsid w:val="00027972"/>
    <w:rsid w:val="00027C32"/>
    <w:rsid w:val="000301B8"/>
    <w:rsid w:val="000302CB"/>
    <w:rsid w:val="00030390"/>
    <w:rsid w:val="0003043E"/>
    <w:rsid w:val="00030480"/>
    <w:rsid w:val="000306D8"/>
    <w:rsid w:val="000306E1"/>
    <w:rsid w:val="00030D6A"/>
    <w:rsid w:val="0003108E"/>
    <w:rsid w:val="000311C6"/>
    <w:rsid w:val="000316B9"/>
    <w:rsid w:val="000317A7"/>
    <w:rsid w:val="000318E5"/>
    <w:rsid w:val="00032846"/>
    <w:rsid w:val="00032A06"/>
    <w:rsid w:val="0003352E"/>
    <w:rsid w:val="0003375A"/>
    <w:rsid w:val="000338A8"/>
    <w:rsid w:val="00033B9A"/>
    <w:rsid w:val="00034253"/>
    <w:rsid w:val="000344EA"/>
    <w:rsid w:val="000345EF"/>
    <w:rsid w:val="0003485D"/>
    <w:rsid w:val="00034928"/>
    <w:rsid w:val="00034E2F"/>
    <w:rsid w:val="00034EB5"/>
    <w:rsid w:val="00034EED"/>
    <w:rsid w:val="00034F8D"/>
    <w:rsid w:val="00034F9C"/>
    <w:rsid w:val="0003558C"/>
    <w:rsid w:val="0003567E"/>
    <w:rsid w:val="00035828"/>
    <w:rsid w:val="000359A2"/>
    <w:rsid w:val="00035DBB"/>
    <w:rsid w:val="0003626F"/>
    <w:rsid w:val="0003633F"/>
    <w:rsid w:val="0003639E"/>
    <w:rsid w:val="0003668C"/>
    <w:rsid w:val="00036F82"/>
    <w:rsid w:val="00037532"/>
    <w:rsid w:val="000375C1"/>
    <w:rsid w:val="000378CF"/>
    <w:rsid w:val="00037CD0"/>
    <w:rsid w:val="00040184"/>
    <w:rsid w:val="00040549"/>
    <w:rsid w:val="000407FE"/>
    <w:rsid w:val="00040D39"/>
    <w:rsid w:val="00040DEE"/>
    <w:rsid w:val="000412D4"/>
    <w:rsid w:val="000415ED"/>
    <w:rsid w:val="00041973"/>
    <w:rsid w:val="00041A4F"/>
    <w:rsid w:val="00041BEA"/>
    <w:rsid w:val="00041D2E"/>
    <w:rsid w:val="000420FB"/>
    <w:rsid w:val="000421CD"/>
    <w:rsid w:val="000426FE"/>
    <w:rsid w:val="00043021"/>
    <w:rsid w:val="00043AC2"/>
    <w:rsid w:val="00043D07"/>
    <w:rsid w:val="00043D2E"/>
    <w:rsid w:val="00044053"/>
    <w:rsid w:val="0004410C"/>
    <w:rsid w:val="0004411A"/>
    <w:rsid w:val="000446A4"/>
    <w:rsid w:val="00044F34"/>
    <w:rsid w:val="0004511D"/>
    <w:rsid w:val="00045318"/>
    <w:rsid w:val="000453A6"/>
    <w:rsid w:val="00046088"/>
    <w:rsid w:val="000466A9"/>
    <w:rsid w:val="000468F6"/>
    <w:rsid w:val="00046B02"/>
    <w:rsid w:val="00046B95"/>
    <w:rsid w:val="0004710F"/>
    <w:rsid w:val="0004729A"/>
    <w:rsid w:val="0004791F"/>
    <w:rsid w:val="0004795F"/>
    <w:rsid w:val="00047A40"/>
    <w:rsid w:val="00050038"/>
    <w:rsid w:val="00050E50"/>
    <w:rsid w:val="0005179F"/>
    <w:rsid w:val="00051970"/>
    <w:rsid w:val="00051E8B"/>
    <w:rsid w:val="00052226"/>
    <w:rsid w:val="00052246"/>
    <w:rsid w:val="0005269A"/>
    <w:rsid w:val="00052731"/>
    <w:rsid w:val="000527F7"/>
    <w:rsid w:val="00052C1C"/>
    <w:rsid w:val="00053010"/>
    <w:rsid w:val="000536F3"/>
    <w:rsid w:val="00053E79"/>
    <w:rsid w:val="0005401A"/>
    <w:rsid w:val="00054544"/>
    <w:rsid w:val="000549BA"/>
    <w:rsid w:val="00054A77"/>
    <w:rsid w:val="00054D29"/>
    <w:rsid w:val="00054DDE"/>
    <w:rsid w:val="0005504D"/>
    <w:rsid w:val="000550EF"/>
    <w:rsid w:val="00055861"/>
    <w:rsid w:val="00055B21"/>
    <w:rsid w:val="00055B93"/>
    <w:rsid w:val="00056255"/>
    <w:rsid w:val="00056AF7"/>
    <w:rsid w:val="00056CA8"/>
    <w:rsid w:val="00057080"/>
    <w:rsid w:val="00057694"/>
    <w:rsid w:val="00057ABC"/>
    <w:rsid w:val="000601B0"/>
    <w:rsid w:val="000603F0"/>
    <w:rsid w:val="00060AA9"/>
    <w:rsid w:val="00060BA5"/>
    <w:rsid w:val="00060D7F"/>
    <w:rsid w:val="00060F05"/>
    <w:rsid w:val="000610DF"/>
    <w:rsid w:val="00061573"/>
    <w:rsid w:val="00061A4D"/>
    <w:rsid w:val="00062128"/>
    <w:rsid w:val="000622CC"/>
    <w:rsid w:val="000623C9"/>
    <w:rsid w:val="00062717"/>
    <w:rsid w:val="0006298C"/>
    <w:rsid w:val="00062E5A"/>
    <w:rsid w:val="00062EB0"/>
    <w:rsid w:val="00062F52"/>
    <w:rsid w:val="00063A9B"/>
    <w:rsid w:val="00063F4F"/>
    <w:rsid w:val="0006427B"/>
    <w:rsid w:val="000642D1"/>
    <w:rsid w:val="000643A3"/>
    <w:rsid w:val="0006440F"/>
    <w:rsid w:val="000644E7"/>
    <w:rsid w:val="000647FF"/>
    <w:rsid w:val="000649A0"/>
    <w:rsid w:val="00064C2D"/>
    <w:rsid w:val="00064EAB"/>
    <w:rsid w:val="0006521B"/>
    <w:rsid w:val="0006597F"/>
    <w:rsid w:val="00065D38"/>
    <w:rsid w:val="00065EF3"/>
    <w:rsid w:val="00065FA9"/>
    <w:rsid w:val="00065FD4"/>
    <w:rsid w:val="00066057"/>
    <w:rsid w:val="0006654B"/>
    <w:rsid w:val="000668FB"/>
    <w:rsid w:val="00066DC4"/>
    <w:rsid w:val="00066EC5"/>
    <w:rsid w:val="00066EFF"/>
    <w:rsid w:val="00067530"/>
    <w:rsid w:val="00067DB0"/>
    <w:rsid w:val="00070561"/>
    <w:rsid w:val="00070D86"/>
    <w:rsid w:val="00070ECC"/>
    <w:rsid w:val="00070F90"/>
    <w:rsid w:val="00071127"/>
    <w:rsid w:val="000713C1"/>
    <w:rsid w:val="0007156C"/>
    <w:rsid w:val="00071CD0"/>
    <w:rsid w:val="000720AA"/>
    <w:rsid w:val="00072661"/>
    <w:rsid w:val="00072859"/>
    <w:rsid w:val="0007357B"/>
    <w:rsid w:val="000737DA"/>
    <w:rsid w:val="00074192"/>
    <w:rsid w:val="00074466"/>
    <w:rsid w:val="00074491"/>
    <w:rsid w:val="000748AB"/>
    <w:rsid w:val="00074E2E"/>
    <w:rsid w:val="00075279"/>
    <w:rsid w:val="0007555F"/>
    <w:rsid w:val="00075F81"/>
    <w:rsid w:val="000760DF"/>
    <w:rsid w:val="000767B3"/>
    <w:rsid w:val="00076CFC"/>
    <w:rsid w:val="0007706A"/>
    <w:rsid w:val="00077FE0"/>
    <w:rsid w:val="00080433"/>
    <w:rsid w:val="00080990"/>
    <w:rsid w:val="00080EDD"/>
    <w:rsid w:val="0008118C"/>
    <w:rsid w:val="00081270"/>
    <w:rsid w:val="000812C8"/>
    <w:rsid w:val="0008144E"/>
    <w:rsid w:val="000818F9"/>
    <w:rsid w:val="00081DD5"/>
    <w:rsid w:val="000822B1"/>
    <w:rsid w:val="000823D2"/>
    <w:rsid w:val="000823EB"/>
    <w:rsid w:val="000824EF"/>
    <w:rsid w:val="00082634"/>
    <w:rsid w:val="0008272D"/>
    <w:rsid w:val="0008289E"/>
    <w:rsid w:val="000828E6"/>
    <w:rsid w:val="000828F4"/>
    <w:rsid w:val="00083081"/>
    <w:rsid w:val="0008336D"/>
    <w:rsid w:val="00083439"/>
    <w:rsid w:val="000834A4"/>
    <w:rsid w:val="00083C49"/>
    <w:rsid w:val="000841A8"/>
    <w:rsid w:val="00084301"/>
    <w:rsid w:val="000843CE"/>
    <w:rsid w:val="0008452A"/>
    <w:rsid w:val="00084BE4"/>
    <w:rsid w:val="00085051"/>
    <w:rsid w:val="0008544F"/>
    <w:rsid w:val="00085AB1"/>
    <w:rsid w:val="00085C24"/>
    <w:rsid w:val="00085DB7"/>
    <w:rsid w:val="000864C4"/>
    <w:rsid w:val="0008674D"/>
    <w:rsid w:val="000867CF"/>
    <w:rsid w:val="0008682B"/>
    <w:rsid w:val="000868C5"/>
    <w:rsid w:val="00086E54"/>
    <w:rsid w:val="00086E82"/>
    <w:rsid w:val="000873B2"/>
    <w:rsid w:val="00090928"/>
    <w:rsid w:val="00090BB8"/>
    <w:rsid w:val="00091B10"/>
    <w:rsid w:val="00092919"/>
    <w:rsid w:val="00092CBB"/>
    <w:rsid w:val="00092DCA"/>
    <w:rsid w:val="000935E6"/>
    <w:rsid w:val="000937D2"/>
    <w:rsid w:val="000940C0"/>
    <w:rsid w:val="000940D2"/>
    <w:rsid w:val="000941FB"/>
    <w:rsid w:val="00094B65"/>
    <w:rsid w:val="00094FFF"/>
    <w:rsid w:val="000952C2"/>
    <w:rsid w:val="000957AB"/>
    <w:rsid w:val="0009584A"/>
    <w:rsid w:val="000958D0"/>
    <w:rsid w:val="0009592B"/>
    <w:rsid w:val="00096197"/>
    <w:rsid w:val="000961ED"/>
    <w:rsid w:val="00096FBB"/>
    <w:rsid w:val="0009715C"/>
    <w:rsid w:val="000972E8"/>
    <w:rsid w:val="000975EF"/>
    <w:rsid w:val="00097968"/>
    <w:rsid w:val="00097B50"/>
    <w:rsid w:val="00097CC4"/>
    <w:rsid w:val="000A023B"/>
    <w:rsid w:val="000A0B23"/>
    <w:rsid w:val="000A0C79"/>
    <w:rsid w:val="000A0D80"/>
    <w:rsid w:val="000A1128"/>
    <w:rsid w:val="000A1226"/>
    <w:rsid w:val="000A1326"/>
    <w:rsid w:val="000A1400"/>
    <w:rsid w:val="000A1560"/>
    <w:rsid w:val="000A16E8"/>
    <w:rsid w:val="000A1893"/>
    <w:rsid w:val="000A1E52"/>
    <w:rsid w:val="000A2153"/>
    <w:rsid w:val="000A25DF"/>
    <w:rsid w:val="000A2A53"/>
    <w:rsid w:val="000A2AC9"/>
    <w:rsid w:val="000A2D07"/>
    <w:rsid w:val="000A31EE"/>
    <w:rsid w:val="000A343E"/>
    <w:rsid w:val="000A3A69"/>
    <w:rsid w:val="000A3CF5"/>
    <w:rsid w:val="000A3F33"/>
    <w:rsid w:val="000A4011"/>
    <w:rsid w:val="000A401B"/>
    <w:rsid w:val="000A412F"/>
    <w:rsid w:val="000A45F4"/>
    <w:rsid w:val="000A52AF"/>
    <w:rsid w:val="000A561C"/>
    <w:rsid w:val="000A5772"/>
    <w:rsid w:val="000A6602"/>
    <w:rsid w:val="000A6C97"/>
    <w:rsid w:val="000A786A"/>
    <w:rsid w:val="000A791E"/>
    <w:rsid w:val="000A7931"/>
    <w:rsid w:val="000A79E3"/>
    <w:rsid w:val="000B04A1"/>
    <w:rsid w:val="000B0794"/>
    <w:rsid w:val="000B0B23"/>
    <w:rsid w:val="000B0BBF"/>
    <w:rsid w:val="000B0BC8"/>
    <w:rsid w:val="000B0C82"/>
    <w:rsid w:val="000B0DCB"/>
    <w:rsid w:val="000B10C9"/>
    <w:rsid w:val="000B11E6"/>
    <w:rsid w:val="000B165F"/>
    <w:rsid w:val="000B19F6"/>
    <w:rsid w:val="000B1F4E"/>
    <w:rsid w:val="000B23A4"/>
    <w:rsid w:val="000B24B0"/>
    <w:rsid w:val="000B2836"/>
    <w:rsid w:val="000B2A42"/>
    <w:rsid w:val="000B2EFB"/>
    <w:rsid w:val="000B38C6"/>
    <w:rsid w:val="000B39AE"/>
    <w:rsid w:val="000B3A48"/>
    <w:rsid w:val="000B434A"/>
    <w:rsid w:val="000B449C"/>
    <w:rsid w:val="000B4750"/>
    <w:rsid w:val="000B5D9D"/>
    <w:rsid w:val="000B5DA1"/>
    <w:rsid w:val="000B5FC6"/>
    <w:rsid w:val="000B6253"/>
    <w:rsid w:val="000B6D46"/>
    <w:rsid w:val="000B6EF5"/>
    <w:rsid w:val="000B71F7"/>
    <w:rsid w:val="000B7352"/>
    <w:rsid w:val="000B741A"/>
    <w:rsid w:val="000B7873"/>
    <w:rsid w:val="000B7A21"/>
    <w:rsid w:val="000B7B4D"/>
    <w:rsid w:val="000B7D44"/>
    <w:rsid w:val="000B7D52"/>
    <w:rsid w:val="000B7F05"/>
    <w:rsid w:val="000C02FC"/>
    <w:rsid w:val="000C0660"/>
    <w:rsid w:val="000C076E"/>
    <w:rsid w:val="000C084C"/>
    <w:rsid w:val="000C086D"/>
    <w:rsid w:val="000C0B1F"/>
    <w:rsid w:val="000C0C6D"/>
    <w:rsid w:val="000C152D"/>
    <w:rsid w:val="000C1918"/>
    <w:rsid w:val="000C1BED"/>
    <w:rsid w:val="000C1C88"/>
    <w:rsid w:val="000C1EBE"/>
    <w:rsid w:val="000C24DA"/>
    <w:rsid w:val="000C26FD"/>
    <w:rsid w:val="000C27A2"/>
    <w:rsid w:val="000C2906"/>
    <w:rsid w:val="000C291C"/>
    <w:rsid w:val="000C2E55"/>
    <w:rsid w:val="000C3179"/>
    <w:rsid w:val="000C3AA3"/>
    <w:rsid w:val="000C3CDF"/>
    <w:rsid w:val="000C406C"/>
    <w:rsid w:val="000C44DB"/>
    <w:rsid w:val="000C4A55"/>
    <w:rsid w:val="000C4C43"/>
    <w:rsid w:val="000C5396"/>
    <w:rsid w:val="000C59F8"/>
    <w:rsid w:val="000C5A16"/>
    <w:rsid w:val="000C5B35"/>
    <w:rsid w:val="000C5D57"/>
    <w:rsid w:val="000C5FB4"/>
    <w:rsid w:val="000C5FD2"/>
    <w:rsid w:val="000C6265"/>
    <w:rsid w:val="000C6322"/>
    <w:rsid w:val="000C6414"/>
    <w:rsid w:val="000C655C"/>
    <w:rsid w:val="000C6CBF"/>
    <w:rsid w:val="000C6D43"/>
    <w:rsid w:val="000C7201"/>
    <w:rsid w:val="000C73B4"/>
    <w:rsid w:val="000C7D4E"/>
    <w:rsid w:val="000C7E14"/>
    <w:rsid w:val="000D01BA"/>
    <w:rsid w:val="000D07FE"/>
    <w:rsid w:val="000D0AD3"/>
    <w:rsid w:val="000D0D43"/>
    <w:rsid w:val="000D0E72"/>
    <w:rsid w:val="000D0F9D"/>
    <w:rsid w:val="000D14F3"/>
    <w:rsid w:val="000D19C5"/>
    <w:rsid w:val="000D1A28"/>
    <w:rsid w:val="000D247A"/>
    <w:rsid w:val="000D248A"/>
    <w:rsid w:val="000D253B"/>
    <w:rsid w:val="000D2700"/>
    <w:rsid w:val="000D2972"/>
    <w:rsid w:val="000D2D12"/>
    <w:rsid w:val="000D2E2A"/>
    <w:rsid w:val="000D3487"/>
    <w:rsid w:val="000D3A34"/>
    <w:rsid w:val="000D3CB5"/>
    <w:rsid w:val="000D401B"/>
    <w:rsid w:val="000D4240"/>
    <w:rsid w:val="000D424F"/>
    <w:rsid w:val="000D460D"/>
    <w:rsid w:val="000D46EE"/>
    <w:rsid w:val="000D4CE6"/>
    <w:rsid w:val="000D4E0C"/>
    <w:rsid w:val="000D4FDD"/>
    <w:rsid w:val="000D504F"/>
    <w:rsid w:val="000D5517"/>
    <w:rsid w:val="000D55E0"/>
    <w:rsid w:val="000D55E1"/>
    <w:rsid w:val="000D5E00"/>
    <w:rsid w:val="000D5F83"/>
    <w:rsid w:val="000D66EB"/>
    <w:rsid w:val="000D68B1"/>
    <w:rsid w:val="000D6983"/>
    <w:rsid w:val="000D6A29"/>
    <w:rsid w:val="000D6A2B"/>
    <w:rsid w:val="000D7224"/>
    <w:rsid w:val="000D723F"/>
    <w:rsid w:val="000D73A6"/>
    <w:rsid w:val="000D784A"/>
    <w:rsid w:val="000D7B88"/>
    <w:rsid w:val="000D7FAD"/>
    <w:rsid w:val="000E0492"/>
    <w:rsid w:val="000E06B8"/>
    <w:rsid w:val="000E085A"/>
    <w:rsid w:val="000E09BA"/>
    <w:rsid w:val="000E0B24"/>
    <w:rsid w:val="000E1041"/>
    <w:rsid w:val="000E10D2"/>
    <w:rsid w:val="000E12FE"/>
    <w:rsid w:val="000E1366"/>
    <w:rsid w:val="000E1ABE"/>
    <w:rsid w:val="000E1B54"/>
    <w:rsid w:val="000E1C11"/>
    <w:rsid w:val="000E1DD9"/>
    <w:rsid w:val="000E2067"/>
    <w:rsid w:val="000E2303"/>
    <w:rsid w:val="000E28C7"/>
    <w:rsid w:val="000E2C23"/>
    <w:rsid w:val="000E2D4A"/>
    <w:rsid w:val="000E2EE8"/>
    <w:rsid w:val="000E30F2"/>
    <w:rsid w:val="000E36AD"/>
    <w:rsid w:val="000E3771"/>
    <w:rsid w:val="000E3B40"/>
    <w:rsid w:val="000E3B4E"/>
    <w:rsid w:val="000E3D46"/>
    <w:rsid w:val="000E3D4B"/>
    <w:rsid w:val="000E3D7F"/>
    <w:rsid w:val="000E4841"/>
    <w:rsid w:val="000E552B"/>
    <w:rsid w:val="000E5822"/>
    <w:rsid w:val="000E58CF"/>
    <w:rsid w:val="000E59D8"/>
    <w:rsid w:val="000E60CC"/>
    <w:rsid w:val="000E61CD"/>
    <w:rsid w:val="000E6208"/>
    <w:rsid w:val="000E6744"/>
    <w:rsid w:val="000E6954"/>
    <w:rsid w:val="000E6E25"/>
    <w:rsid w:val="000E76B6"/>
    <w:rsid w:val="000E7792"/>
    <w:rsid w:val="000E7C88"/>
    <w:rsid w:val="000E7F2C"/>
    <w:rsid w:val="000F0115"/>
    <w:rsid w:val="000F03D1"/>
    <w:rsid w:val="000F0BE8"/>
    <w:rsid w:val="000F0D6C"/>
    <w:rsid w:val="000F0E0B"/>
    <w:rsid w:val="000F112B"/>
    <w:rsid w:val="000F11EE"/>
    <w:rsid w:val="000F121D"/>
    <w:rsid w:val="000F16DD"/>
    <w:rsid w:val="000F197F"/>
    <w:rsid w:val="000F1DA5"/>
    <w:rsid w:val="000F21A0"/>
    <w:rsid w:val="000F24E3"/>
    <w:rsid w:val="000F2585"/>
    <w:rsid w:val="000F2669"/>
    <w:rsid w:val="000F29EA"/>
    <w:rsid w:val="000F2A62"/>
    <w:rsid w:val="000F2B64"/>
    <w:rsid w:val="000F2C30"/>
    <w:rsid w:val="000F2D59"/>
    <w:rsid w:val="000F33F8"/>
    <w:rsid w:val="000F3CD5"/>
    <w:rsid w:val="000F3F4F"/>
    <w:rsid w:val="000F52A8"/>
    <w:rsid w:val="000F5331"/>
    <w:rsid w:val="000F56F5"/>
    <w:rsid w:val="000F57AF"/>
    <w:rsid w:val="000F57C2"/>
    <w:rsid w:val="000F5A74"/>
    <w:rsid w:val="000F694A"/>
    <w:rsid w:val="000F6AB3"/>
    <w:rsid w:val="000F6CB5"/>
    <w:rsid w:val="000F724B"/>
    <w:rsid w:val="000F72C2"/>
    <w:rsid w:val="000F7352"/>
    <w:rsid w:val="000F74FD"/>
    <w:rsid w:val="000F78E2"/>
    <w:rsid w:val="000F7C17"/>
    <w:rsid w:val="000F7EFD"/>
    <w:rsid w:val="00100A0E"/>
    <w:rsid w:val="00100B4A"/>
    <w:rsid w:val="00101007"/>
    <w:rsid w:val="00101576"/>
    <w:rsid w:val="0010167E"/>
    <w:rsid w:val="0010195C"/>
    <w:rsid w:val="00101971"/>
    <w:rsid w:val="00101A5D"/>
    <w:rsid w:val="00101B3D"/>
    <w:rsid w:val="001020A3"/>
    <w:rsid w:val="00102320"/>
    <w:rsid w:val="0010240B"/>
    <w:rsid w:val="00102563"/>
    <w:rsid w:val="00102AA7"/>
    <w:rsid w:val="00102BD7"/>
    <w:rsid w:val="0010308C"/>
    <w:rsid w:val="001031B7"/>
    <w:rsid w:val="0010324D"/>
    <w:rsid w:val="001038CE"/>
    <w:rsid w:val="00103AEF"/>
    <w:rsid w:val="00103BAD"/>
    <w:rsid w:val="0010418D"/>
    <w:rsid w:val="001041A5"/>
    <w:rsid w:val="00104258"/>
    <w:rsid w:val="00104747"/>
    <w:rsid w:val="00104C7B"/>
    <w:rsid w:val="00104EC3"/>
    <w:rsid w:val="0010522E"/>
    <w:rsid w:val="001057B9"/>
    <w:rsid w:val="00105D2B"/>
    <w:rsid w:val="0010635D"/>
    <w:rsid w:val="00106461"/>
    <w:rsid w:val="00106970"/>
    <w:rsid w:val="00106E80"/>
    <w:rsid w:val="001074E7"/>
    <w:rsid w:val="00107FAE"/>
    <w:rsid w:val="00110288"/>
    <w:rsid w:val="00110380"/>
    <w:rsid w:val="001107B5"/>
    <w:rsid w:val="00110CCF"/>
    <w:rsid w:val="00110EAD"/>
    <w:rsid w:val="00110F48"/>
    <w:rsid w:val="001111B6"/>
    <w:rsid w:val="00111502"/>
    <w:rsid w:val="0011169A"/>
    <w:rsid w:val="00111827"/>
    <w:rsid w:val="00111AA9"/>
    <w:rsid w:val="00111C91"/>
    <w:rsid w:val="00111EB7"/>
    <w:rsid w:val="00112593"/>
    <w:rsid w:val="001125E2"/>
    <w:rsid w:val="00112606"/>
    <w:rsid w:val="00112756"/>
    <w:rsid w:val="00112A1A"/>
    <w:rsid w:val="00112B7F"/>
    <w:rsid w:val="00112F49"/>
    <w:rsid w:val="00112FF4"/>
    <w:rsid w:val="00113107"/>
    <w:rsid w:val="001135F5"/>
    <w:rsid w:val="00113614"/>
    <w:rsid w:val="00113700"/>
    <w:rsid w:val="00113AEF"/>
    <w:rsid w:val="00113F75"/>
    <w:rsid w:val="00114194"/>
    <w:rsid w:val="00114379"/>
    <w:rsid w:val="001143A4"/>
    <w:rsid w:val="00114412"/>
    <w:rsid w:val="00114825"/>
    <w:rsid w:val="00114AFE"/>
    <w:rsid w:val="00114B6B"/>
    <w:rsid w:val="00114C7C"/>
    <w:rsid w:val="001152CC"/>
    <w:rsid w:val="00115DCE"/>
    <w:rsid w:val="00115EEF"/>
    <w:rsid w:val="00116046"/>
    <w:rsid w:val="00116F74"/>
    <w:rsid w:val="001173FF"/>
    <w:rsid w:val="001176B7"/>
    <w:rsid w:val="00117C45"/>
    <w:rsid w:val="00120028"/>
    <w:rsid w:val="0012027C"/>
    <w:rsid w:val="0012072F"/>
    <w:rsid w:val="00120AEF"/>
    <w:rsid w:val="00120D77"/>
    <w:rsid w:val="00120DDC"/>
    <w:rsid w:val="00120EA2"/>
    <w:rsid w:val="00121562"/>
    <w:rsid w:val="0012171B"/>
    <w:rsid w:val="00121952"/>
    <w:rsid w:val="00121A63"/>
    <w:rsid w:val="00121A96"/>
    <w:rsid w:val="00121BB6"/>
    <w:rsid w:val="00121D6C"/>
    <w:rsid w:val="00121F6E"/>
    <w:rsid w:val="0012218A"/>
    <w:rsid w:val="00122762"/>
    <w:rsid w:val="001229D0"/>
    <w:rsid w:val="00122A07"/>
    <w:rsid w:val="00123257"/>
    <w:rsid w:val="001239DE"/>
    <w:rsid w:val="00124252"/>
    <w:rsid w:val="00124802"/>
    <w:rsid w:val="00124944"/>
    <w:rsid w:val="00124EC1"/>
    <w:rsid w:val="00125C52"/>
    <w:rsid w:val="00125CFC"/>
    <w:rsid w:val="00125E63"/>
    <w:rsid w:val="00125E9E"/>
    <w:rsid w:val="00126570"/>
    <w:rsid w:val="001266F1"/>
    <w:rsid w:val="00126828"/>
    <w:rsid w:val="0012690F"/>
    <w:rsid w:val="00126DA5"/>
    <w:rsid w:val="001271F9"/>
    <w:rsid w:val="00127223"/>
    <w:rsid w:val="00127407"/>
    <w:rsid w:val="0012741B"/>
    <w:rsid w:val="00127662"/>
    <w:rsid w:val="0012772E"/>
    <w:rsid w:val="00127B85"/>
    <w:rsid w:val="00127E48"/>
    <w:rsid w:val="00127E9A"/>
    <w:rsid w:val="00130319"/>
    <w:rsid w:val="00130558"/>
    <w:rsid w:val="00131543"/>
    <w:rsid w:val="00131569"/>
    <w:rsid w:val="00131793"/>
    <w:rsid w:val="00131E99"/>
    <w:rsid w:val="00131FD4"/>
    <w:rsid w:val="00133103"/>
    <w:rsid w:val="00133156"/>
    <w:rsid w:val="0013328B"/>
    <w:rsid w:val="001340F3"/>
    <w:rsid w:val="0013441D"/>
    <w:rsid w:val="00134714"/>
    <w:rsid w:val="00134A77"/>
    <w:rsid w:val="00134AFA"/>
    <w:rsid w:val="001352DA"/>
    <w:rsid w:val="001353D9"/>
    <w:rsid w:val="001355D8"/>
    <w:rsid w:val="00135A8C"/>
    <w:rsid w:val="00135E13"/>
    <w:rsid w:val="001360B9"/>
    <w:rsid w:val="00136339"/>
    <w:rsid w:val="001366D6"/>
    <w:rsid w:val="00136BDF"/>
    <w:rsid w:val="00136E15"/>
    <w:rsid w:val="001372B1"/>
    <w:rsid w:val="00137423"/>
    <w:rsid w:val="0013763B"/>
    <w:rsid w:val="001378B9"/>
    <w:rsid w:val="00137912"/>
    <w:rsid w:val="00140862"/>
    <w:rsid w:val="001408A4"/>
    <w:rsid w:val="0014108C"/>
    <w:rsid w:val="00141262"/>
    <w:rsid w:val="001415CD"/>
    <w:rsid w:val="001415F6"/>
    <w:rsid w:val="00142166"/>
    <w:rsid w:val="001421C5"/>
    <w:rsid w:val="001425D9"/>
    <w:rsid w:val="0014277F"/>
    <w:rsid w:val="001429B1"/>
    <w:rsid w:val="001429F4"/>
    <w:rsid w:val="00142B79"/>
    <w:rsid w:val="00142D74"/>
    <w:rsid w:val="00142DA0"/>
    <w:rsid w:val="00142E29"/>
    <w:rsid w:val="001430CD"/>
    <w:rsid w:val="001434B1"/>
    <w:rsid w:val="0014383A"/>
    <w:rsid w:val="00143C8E"/>
    <w:rsid w:val="0014436D"/>
    <w:rsid w:val="00144488"/>
    <w:rsid w:val="00144528"/>
    <w:rsid w:val="001445CF"/>
    <w:rsid w:val="0014489B"/>
    <w:rsid w:val="00144BE2"/>
    <w:rsid w:val="00144F37"/>
    <w:rsid w:val="001458BF"/>
    <w:rsid w:val="00145B35"/>
    <w:rsid w:val="00145C8F"/>
    <w:rsid w:val="00146354"/>
    <w:rsid w:val="0014638D"/>
    <w:rsid w:val="00146933"/>
    <w:rsid w:val="00146FA2"/>
    <w:rsid w:val="001471FC"/>
    <w:rsid w:val="00147C15"/>
    <w:rsid w:val="001503C2"/>
    <w:rsid w:val="001505F9"/>
    <w:rsid w:val="0015074E"/>
    <w:rsid w:val="00150F51"/>
    <w:rsid w:val="00150FCA"/>
    <w:rsid w:val="00151091"/>
    <w:rsid w:val="00151565"/>
    <w:rsid w:val="001516D8"/>
    <w:rsid w:val="00151825"/>
    <w:rsid w:val="001518EA"/>
    <w:rsid w:val="00151ABA"/>
    <w:rsid w:val="00151B5F"/>
    <w:rsid w:val="00151B94"/>
    <w:rsid w:val="00152169"/>
    <w:rsid w:val="0015239C"/>
    <w:rsid w:val="001530DF"/>
    <w:rsid w:val="0015337C"/>
    <w:rsid w:val="001533B1"/>
    <w:rsid w:val="00153822"/>
    <w:rsid w:val="0015383D"/>
    <w:rsid w:val="00153EB8"/>
    <w:rsid w:val="00154025"/>
    <w:rsid w:val="001541E6"/>
    <w:rsid w:val="0015458B"/>
    <w:rsid w:val="00154FE9"/>
    <w:rsid w:val="00155094"/>
    <w:rsid w:val="00155650"/>
    <w:rsid w:val="0015578B"/>
    <w:rsid w:val="001557B5"/>
    <w:rsid w:val="00155A20"/>
    <w:rsid w:val="001562BE"/>
    <w:rsid w:val="00157292"/>
    <w:rsid w:val="0015760F"/>
    <w:rsid w:val="0015766A"/>
    <w:rsid w:val="00157CDD"/>
    <w:rsid w:val="00157D5F"/>
    <w:rsid w:val="00157F55"/>
    <w:rsid w:val="00160007"/>
    <w:rsid w:val="00160296"/>
    <w:rsid w:val="001602D8"/>
    <w:rsid w:val="0016046E"/>
    <w:rsid w:val="00160AA5"/>
    <w:rsid w:val="0016136A"/>
    <w:rsid w:val="00161A77"/>
    <w:rsid w:val="00161A89"/>
    <w:rsid w:val="00161AB9"/>
    <w:rsid w:val="00161CA1"/>
    <w:rsid w:val="00161E96"/>
    <w:rsid w:val="00161FE8"/>
    <w:rsid w:val="001625AA"/>
    <w:rsid w:val="00162A3C"/>
    <w:rsid w:val="00162AD6"/>
    <w:rsid w:val="00162C83"/>
    <w:rsid w:val="0016310C"/>
    <w:rsid w:val="0016332A"/>
    <w:rsid w:val="00163472"/>
    <w:rsid w:val="0016369F"/>
    <w:rsid w:val="001638F0"/>
    <w:rsid w:val="00163997"/>
    <w:rsid w:val="00163E56"/>
    <w:rsid w:val="00164660"/>
    <w:rsid w:val="001646A8"/>
    <w:rsid w:val="00164DF9"/>
    <w:rsid w:val="00164EFD"/>
    <w:rsid w:val="00165031"/>
    <w:rsid w:val="00165223"/>
    <w:rsid w:val="0016554F"/>
    <w:rsid w:val="001661AA"/>
    <w:rsid w:val="00166833"/>
    <w:rsid w:val="001670CA"/>
    <w:rsid w:val="001679C5"/>
    <w:rsid w:val="00167EEE"/>
    <w:rsid w:val="00167F07"/>
    <w:rsid w:val="00170570"/>
    <w:rsid w:val="001706FF"/>
    <w:rsid w:val="001709BD"/>
    <w:rsid w:val="00170C0A"/>
    <w:rsid w:val="00170E74"/>
    <w:rsid w:val="00171C07"/>
    <w:rsid w:val="00171D23"/>
    <w:rsid w:val="00171E83"/>
    <w:rsid w:val="0017221A"/>
    <w:rsid w:val="001729E5"/>
    <w:rsid w:val="00172BB6"/>
    <w:rsid w:val="00173182"/>
    <w:rsid w:val="001734B2"/>
    <w:rsid w:val="00173BDB"/>
    <w:rsid w:val="00173EAF"/>
    <w:rsid w:val="001743D9"/>
    <w:rsid w:val="00174596"/>
    <w:rsid w:val="0017544A"/>
    <w:rsid w:val="00175732"/>
    <w:rsid w:val="00175C29"/>
    <w:rsid w:val="00175CAF"/>
    <w:rsid w:val="00175E15"/>
    <w:rsid w:val="00175E26"/>
    <w:rsid w:val="00176156"/>
    <w:rsid w:val="00176241"/>
    <w:rsid w:val="00176318"/>
    <w:rsid w:val="00176652"/>
    <w:rsid w:val="001768B6"/>
    <w:rsid w:val="00176945"/>
    <w:rsid w:val="00176BA5"/>
    <w:rsid w:val="00176BCF"/>
    <w:rsid w:val="00177096"/>
    <w:rsid w:val="001771D5"/>
    <w:rsid w:val="001777D1"/>
    <w:rsid w:val="00177970"/>
    <w:rsid w:val="001800B8"/>
    <w:rsid w:val="001800CA"/>
    <w:rsid w:val="00180507"/>
    <w:rsid w:val="00180AB2"/>
    <w:rsid w:val="00180D5E"/>
    <w:rsid w:val="00180E49"/>
    <w:rsid w:val="00181059"/>
    <w:rsid w:val="00181289"/>
    <w:rsid w:val="001812B3"/>
    <w:rsid w:val="00181A7D"/>
    <w:rsid w:val="001824DB"/>
    <w:rsid w:val="00182838"/>
    <w:rsid w:val="00182AE3"/>
    <w:rsid w:val="00182B7F"/>
    <w:rsid w:val="00182C83"/>
    <w:rsid w:val="00182D02"/>
    <w:rsid w:val="00182EE2"/>
    <w:rsid w:val="00183448"/>
    <w:rsid w:val="00183B65"/>
    <w:rsid w:val="00183BAA"/>
    <w:rsid w:val="001842E4"/>
    <w:rsid w:val="00184407"/>
    <w:rsid w:val="00184499"/>
    <w:rsid w:val="0018464E"/>
    <w:rsid w:val="00184C3F"/>
    <w:rsid w:val="00184C5D"/>
    <w:rsid w:val="00185207"/>
    <w:rsid w:val="001852A5"/>
    <w:rsid w:val="001854D0"/>
    <w:rsid w:val="0018555B"/>
    <w:rsid w:val="00185727"/>
    <w:rsid w:val="001857E3"/>
    <w:rsid w:val="00185893"/>
    <w:rsid w:val="001863F1"/>
    <w:rsid w:val="00186488"/>
    <w:rsid w:val="001865F0"/>
    <w:rsid w:val="00186C47"/>
    <w:rsid w:val="001870FD"/>
    <w:rsid w:val="00187222"/>
    <w:rsid w:val="0018747F"/>
    <w:rsid w:val="001874D6"/>
    <w:rsid w:val="00187576"/>
    <w:rsid w:val="0018788E"/>
    <w:rsid w:val="00187BB6"/>
    <w:rsid w:val="00187CDF"/>
    <w:rsid w:val="00187E14"/>
    <w:rsid w:val="00190001"/>
    <w:rsid w:val="001901C8"/>
    <w:rsid w:val="00190228"/>
    <w:rsid w:val="001904E4"/>
    <w:rsid w:val="001905F3"/>
    <w:rsid w:val="00190DFF"/>
    <w:rsid w:val="00190F12"/>
    <w:rsid w:val="0019114E"/>
    <w:rsid w:val="001916F8"/>
    <w:rsid w:val="00191D33"/>
    <w:rsid w:val="00192293"/>
    <w:rsid w:val="001925A9"/>
    <w:rsid w:val="00192694"/>
    <w:rsid w:val="001929EC"/>
    <w:rsid w:val="00192D4C"/>
    <w:rsid w:val="00193142"/>
    <w:rsid w:val="00193747"/>
    <w:rsid w:val="00193BAC"/>
    <w:rsid w:val="0019493C"/>
    <w:rsid w:val="00194F63"/>
    <w:rsid w:val="00195578"/>
    <w:rsid w:val="001956A0"/>
    <w:rsid w:val="00195A89"/>
    <w:rsid w:val="00195FDF"/>
    <w:rsid w:val="001961E0"/>
    <w:rsid w:val="001966D2"/>
    <w:rsid w:val="00196FDA"/>
    <w:rsid w:val="001971C3"/>
    <w:rsid w:val="001972BE"/>
    <w:rsid w:val="0019779B"/>
    <w:rsid w:val="00197B18"/>
    <w:rsid w:val="00197F58"/>
    <w:rsid w:val="001A040A"/>
    <w:rsid w:val="001A054F"/>
    <w:rsid w:val="001A0A24"/>
    <w:rsid w:val="001A0B09"/>
    <w:rsid w:val="001A12A8"/>
    <w:rsid w:val="001A12AC"/>
    <w:rsid w:val="001A14A3"/>
    <w:rsid w:val="001A14BF"/>
    <w:rsid w:val="001A177A"/>
    <w:rsid w:val="001A1821"/>
    <w:rsid w:val="001A1B9D"/>
    <w:rsid w:val="001A1D6F"/>
    <w:rsid w:val="001A21C5"/>
    <w:rsid w:val="001A24F6"/>
    <w:rsid w:val="001A297B"/>
    <w:rsid w:val="001A2F89"/>
    <w:rsid w:val="001A3553"/>
    <w:rsid w:val="001A3F9E"/>
    <w:rsid w:val="001A4C57"/>
    <w:rsid w:val="001A4E23"/>
    <w:rsid w:val="001A50B1"/>
    <w:rsid w:val="001A5820"/>
    <w:rsid w:val="001A584A"/>
    <w:rsid w:val="001A5F42"/>
    <w:rsid w:val="001A6604"/>
    <w:rsid w:val="001A696C"/>
    <w:rsid w:val="001A6DDC"/>
    <w:rsid w:val="001A701F"/>
    <w:rsid w:val="001A745C"/>
    <w:rsid w:val="001A79A4"/>
    <w:rsid w:val="001B0041"/>
    <w:rsid w:val="001B01BF"/>
    <w:rsid w:val="001B035A"/>
    <w:rsid w:val="001B0D79"/>
    <w:rsid w:val="001B0F6F"/>
    <w:rsid w:val="001B1099"/>
    <w:rsid w:val="001B11CA"/>
    <w:rsid w:val="001B12B5"/>
    <w:rsid w:val="001B180F"/>
    <w:rsid w:val="001B196B"/>
    <w:rsid w:val="001B1CEA"/>
    <w:rsid w:val="001B2219"/>
    <w:rsid w:val="001B2401"/>
    <w:rsid w:val="001B2495"/>
    <w:rsid w:val="001B2C92"/>
    <w:rsid w:val="001B2D18"/>
    <w:rsid w:val="001B3291"/>
    <w:rsid w:val="001B3758"/>
    <w:rsid w:val="001B39EB"/>
    <w:rsid w:val="001B3A40"/>
    <w:rsid w:val="001B3C82"/>
    <w:rsid w:val="001B4165"/>
    <w:rsid w:val="001B43A4"/>
    <w:rsid w:val="001B4429"/>
    <w:rsid w:val="001B49C8"/>
    <w:rsid w:val="001B4D69"/>
    <w:rsid w:val="001B4DD5"/>
    <w:rsid w:val="001B53A9"/>
    <w:rsid w:val="001B5847"/>
    <w:rsid w:val="001B590B"/>
    <w:rsid w:val="001B61DE"/>
    <w:rsid w:val="001B66C2"/>
    <w:rsid w:val="001B674A"/>
    <w:rsid w:val="001B68A0"/>
    <w:rsid w:val="001B6982"/>
    <w:rsid w:val="001B6A05"/>
    <w:rsid w:val="001B6B77"/>
    <w:rsid w:val="001B6C12"/>
    <w:rsid w:val="001B795D"/>
    <w:rsid w:val="001B7E76"/>
    <w:rsid w:val="001B7EC6"/>
    <w:rsid w:val="001C064F"/>
    <w:rsid w:val="001C11F9"/>
    <w:rsid w:val="001C1821"/>
    <w:rsid w:val="001C186D"/>
    <w:rsid w:val="001C21A5"/>
    <w:rsid w:val="001C246A"/>
    <w:rsid w:val="001C2CB3"/>
    <w:rsid w:val="001C2D43"/>
    <w:rsid w:val="001C3175"/>
    <w:rsid w:val="001C3588"/>
    <w:rsid w:val="001C374E"/>
    <w:rsid w:val="001C39A7"/>
    <w:rsid w:val="001C3FC8"/>
    <w:rsid w:val="001C41EF"/>
    <w:rsid w:val="001C4493"/>
    <w:rsid w:val="001C4833"/>
    <w:rsid w:val="001C48F2"/>
    <w:rsid w:val="001C4AAD"/>
    <w:rsid w:val="001C4C6D"/>
    <w:rsid w:val="001C50D5"/>
    <w:rsid w:val="001C54F3"/>
    <w:rsid w:val="001C5DB8"/>
    <w:rsid w:val="001C6147"/>
    <w:rsid w:val="001C6C98"/>
    <w:rsid w:val="001C71F2"/>
    <w:rsid w:val="001C7AB5"/>
    <w:rsid w:val="001C7CB9"/>
    <w:rsid w:val="001C7FE6"/>
    <w:rsid w:val="001D04B9"/>
    <w:rsid w:val="001D0D0C"/>
    <w:rsid w:val="001D1447"/>
    <w:rsid w:val="001D1469"/>
    <w:rsid w:val="001D17A0"/>
    <w:rsid w:val="001D1841"/>
    <w:rsid w:val="001D2401"/>
    <w:rsid w:val="001D27A4"/>
    <w:rsid w:val="001D2896"/>
    <w:rsid w:val="001D28C3"/>
    <w:rsid w:val="001D2CAA"/>
    <w:rsid w:val="001D2DB6"/>
    <w:rsid w:val="001D2E6A"/>
    <w:rsid w:val="001D309C"/>
    <w:rsid w:val="001D3664"/>
    <w:rsid w:val="001D371D"/>
    <w:rsid w:val="001D395A"/>
    <w:rsid w:val="001D3CC1"/>
    <w:rsid w:val="001D3EE0"/>
    <w:rsid w:val="001D43C3"/>
    <w:rsid w:val="001D472D"/>
    <w:rsid w:val="001D4854"/>
    <w:rsid w:val="001D4ABF"/>
    <w:rsid w:val="001D4E36"/>
    <w:rsid w:val="001D4FC4"/>
    <w:rsid w:val="001D5080"/>
    <w:rsid w:val="001D52E4"/>
    <w:rsid w:val="001D52FE"/>
    <w:rsid w:val="001D5430"/>
    <w:rsid w:val="001D5B7D"/>
    <w:rsid w:val="001D5D39"/>
    <w:rsid w:val="001D607A"/>
    <w:rsid w:val="001D66FC"/>
    <w:rsid w:val="001D696B"/>
    <w:rsid w:val="001D6CFD"/>
    <w:rsid w:val="001D6E97"/>
    <w:rsid w:val="001D70CA"/>
    <w:rsid w:val="001D7A6C"/>
    <w:rsid w:val="001D7BA7"/>
    <w:rsid w:val="001E075B"/>
    <w:rsid w:val="001E08BE"/>
    <w:rsid w:val="001E0BE0"/>
    <w:rsid w:val="001E0D4B"/>
    <w:rsid w:val="001E0D7E"/>
    <w:rsid w:val="001E0F4F"/>
    <w:rsid w:val="001E1023"/>
    <w:rsid w:val="001E1039"/>
    <w:rsid w:val="001E1225"/>
    <w:rsid w:val="001E15C8"/>
    <w:rsid w:val="001E1B2E"/>
    <w:rsid w:val="001E1C0D"/>
    <w:rsid w:val="001E21F7"/>
    <w:rsid w:val="001E23E2"/>
    <w:rsid w:val="001E2D37"/>
    <w:rsid w:val="001E2EF6"/>
    <w:rsid w:val="001E31EE"/>
    <w:rsid w:val="001E32E0"/>
    <w:rsid w:val="001E3571"/>
    <w:rsid w:val="001E3ECE"/>
    <w:rsid w:val="001E432B"/>
    <w:rsid w:val="001E443A"/>
    <w:rsid w:val="001E52E9"/>
    <w:rsid w:val="001E537A"/>
    <w:rsid w:val="001E57E7"/>
    <w:rsid w:val="001E584A"/>
    <w:rsid w:val="001E5958"/>
    <w:rsid w:val="001E5994"/>
    <w:rsid w:val="001E5B7F"/>
    <w:rsid w:val="001E6058"/>
    <w:rsid w:val="001E6155"/>
    <w:rsid w:val="001E61DD"/>
    <w:rsid w:val="001E6DBA"/>
    <w:rsid w:val="001E6F22"/>
    <w:rsid w:val="001E7176"/>
    <w:rsid w:val="001E732F"/>
    <w:rsid w:val="001E7472"/>
    <w:rsid w:val="001E761C"/>
    <w:rsid w:val="001E7803"/>
    <w:rsid w:val="001E7D1A"/>
    <w:rsid w:val="001E7E63"/>
    <w:rsid w:val="001F01AA"/>
    <w:rsid w:val="001F0390"/>
    <w:rsid w:val="001F03BA"/>
    <w:rsid w:val="001F099B"/>
    <w:rsid w:val="001F1006"/>
    <w:rsid w:val="001F161C"/>
    <w:rsid w:val="001F1AFB"/>
    <w:rsid w:val="001F1E8A"/>
    <w:rsid w:val="001F229B"/>
    <w:rsid w:val="001F2584"/>
    <w:rsid w:val="001F2871"/>
    <w:rsid w:val="001F2BBC"/>
    <w:rsid w:val="001F2C22"/>
    <w:rsid w:val="001F2F28"/>
    <w:rsid w:val="001F305A"/>
    <w:rsid w:val="001F3764"/>
    <w:rsid w:val="001F385A"/>
    <w:rsid w:val="001F3907"/>
    <w:rsid w:val="001F3935"/>
    <w:rsid w:val="001F3E73"/>
    <w:rsid w:val="001F43FE"/>
    <w:rsid w:val="001F4DED"/>
    <w:rsid w:val="001F55D4"/>
    <w:rsid w:val="001F57A5"/>
    <w:rsid w:val="001F5816"/>
    <w:rsid w:val="001F59C4"/>
    <w:rsid w:val="001F5A57"/>
    <w:rsid w:val="001F5B7A"/>
    <w:rsid w:val="001F5C35"/>
    <w:rsid w:val="001F5EFD"/>
    <w:rsid w:val="001F62F6"/>
    <w:rsid w:val="001F6341"/>
    <w:rsid w:val="001F6634"/>
    <w:rsid w:val="001F677A"/>
    <w:rsid w:val="001F6E05"/>
    <w:rsid w:val="001F71DC"/>
    <w:rsid w:val="001F7246"/>
    <w:rsid w:val="001F77DB"/>
    <w:rsid w:val="001F7827"/>
    <w:rsid w:val="001F786D"/>
    <w:rsid w:val="001F7D63"/>
    <w:rsid w:val="0020025E"/>
    <w:rsid w:val="00200D15"/>
    <w:rsid w:val="00200E52"/>
    <w:rsid w:val="00200E56"/>
    <w:rsid w:val="00200EFC"/>
    <w:rsid w:val="0020165E"/>
    <w:rsid w:val="002019FF"/>
    <w:rsid w:val="00201CA6"/>
    <w:rsid w:val="00201F9D"/>
    <w:rsid w:val="0020210A"/>
    <w:rsid w:val="00202145"/>
    <w:rsid w:val="0020234C"/>
    <w:rsid w:val="002023EE"/>
    <w:rsid w:val="00202F2F"/>
    <w:rsid w:val="00203574"/>
    <w:rsid w:val="00203AD1"/>
    <w:rsid w:val="00203D55"/>
    <w:rsid w:val="00203E55"/>
    <w:rsid w:val="00205462"/>
    <w:rsid w:val="002064D1"/>
    <w:rsid w:val="002069A6"/>
    <w:rsid w:val="00206B0D"/>
    <w:rsid w:val="00207361"/>
    <w:rsid w:val="00207505"/>
    <w:rsid w:val="002076F3"/>
    <w:rsid w:val="002106A6"/>
    <w:rsid w:val="0021083C"/>
    <w:rsid w:val="00211030"/>
    <w:rsid w:val="002111D4"/>
    <w:rsid w:val="002119E3"/>
    <w:rsid w:val="00211BBF"/>
    <w:rsid w:val="002121D7"/>
    <w:rsid w:val="002127E6"/>
    <w:rsid w:val="002128B4"/>
    <w:rsid w:val="00212EF5"/>
    <w:rsid w:val="00212F0B"/>
    <w:rsid w:val="00213766"/>
    <w:rsid w:val="002142D2"/>
    <w:rsid w:val="0021443F"/>
    <w:rsid w:val="0021455A"/>
    <w:rsid w:val="00214938"/>
    <w:rsid w:val="00214FC9"/>
    <w:rsid w:val="0021523B"/>
    <w:rsid w:val="0021593F"/>
    <w:rsid w:val="00215962"/>
    <w:rsid w:val="00215D77"/>
    <w:rsid w:val="00215F62"/>
    <w:rsid w:val="00215FA7"/>
    <w:rsid w:val="00216107"/>
    <w:rsid w:val="00216734"/>
    <w:rsid w:val="00216787"/>
    <w:rsid w:val="002167E5"/>
    <w:rsid w:val="00216E44"/>
    <w:rsid w:val="00217290"/>
    <w:rsid w:val="00217556"/>
    <w:rsid w:val="002175F8"/>
    <w:rsid w:val="002176C5"/>
    <w:rsid w:val="002179B0"/>
    <w:rsid w:val="002179DE"/>
    <w:rsid w:val="00217A9F"/>
    <w:rsid w:val="0022030C"/>
    <w:rsid w:val="0022093C"/>
    <w:rsid w:val="002209F9"/>
    <w:rsid w:val="00220A06"/>
    <w:rsid w:val="002215BA"/>
    <w:rsid w:val="00221654"/>
    <w:rsid w:val="002216E6"/>
    <w:rsid w:val="002217B7"/>
    <w:rsid w:val="00221FC2"/>
    <w:rsid w:val="00222C40"/>
    <w:rsid w:val="00222D1D"/>
    <w:rsid w:val="002230A2"/>
    <w:rsid w:val="002232E7"/>
    <w:rsid w:val="0022384F"/>
    <w:rsid w:val="00223ACF"/>
    <w:rsid w:val="00223D1D"/>
    <w:rsid w:val="002244C6"/>
    <w:rsid w:val="002244D7"/>
    <w:rsid w:val="002247C0"/>
    <w:rsid w:val="0022496F"/>
    <w:rsid w:val="00224E55"/>
    <w:rsid w:val="00225038"/>
    <w:rsid w:val="00225321"/>
    <w:rsid w:val="00225CF6"/>
    <w:rsid w:val="00225E72"/>
    <w:rsid w:val="00225FE4"/>
    <w:rsid w:val="002261FC"/>
    <w:rsid w:val="00226814"/>
    <w:rsid w:val="00226C6D"/>
    <w:rsid w:val="00226CB1"/>
    <w:rsid w:val="0022713E"/>
    <w:rsid w:val="00227404"/>
    <w:rsid w:val="00227531"/>
    <w:rsid w:val="002278ED"/>
    <w:rsid w:val="00227981"/>
    <w:rsid w:val="00227F9D"/>
    <w:rsid w:val="00230709"/>
    <w:rsid w:val="0023088F"/>
    <w:rsid w:val="00230C94"/>
    <w:rsid w:val="00230EB7"/>
    <w:rsid w:val="00230EC6"/>
    <w:rsid w:val="00230F9A"/>
    <w:rsid w:val="00230FB5"/>
    <w:rsid w:val="00230FCF"/>
    <w:rsid w:val="00231076"/>
    <w:rsid w:val="002310AF"/>
    <w:rsid w:val="00231EB1"/>
    <w:rsid w:val="00231F80"/>
    <w:rsid w:val="002322F6"/>
    <w:rsid w:val="00232AC7"/>
    <w:rsid w:val="00232F66"/>
    <w:rsid w:val="00233355"/>
    <w:rsid w:val="00233807"/>
    <w:rsid w:val="00233907"/>
    <w:rsid w:val="002339E1"/>
    <w:rsid w:val="00234262"/>
    <w:rsid w:val="00234625"/>
    <w:rsid w:val="00234C5F"/>
    <w:rsid w:val="00234DDC"/>
    <w:rsid w:val="0023519B"/>
    <w:rsid w:val="002359B2"/>
    <w:rsid w:val="00235CD0"/>
    <w:rsid w:val="00235D88"/>
    <w:rsid w:val="00235F0C"/>
    <w:rsid w:val="0023633E"/>
    <w:rsid w:val="00236947"/>
    <w:rsid w:val="00236B0E"/>
    <w:rsid w:val="00236C6E"/>
    <w:rsid w:val="00237211"/>
    <w:rsid w:val="0023729A"/>
    <w:rsid w:val="002376C5"/>
    <w:rsid w:val="00237771"/>
    <w:rsid w:val="00237BAA"/>
    <w:rsid w:val="00237E42"/>
    <w:rsid w:val="0024085D"/>
    <w:rsid w:val="00240B88"/>
    <w:rsid w:val="00240E24"/>
    <w:rsid w:val="0024118F"/>
    <w:rsid w:val="00242173"/>
    <w:rsid w:val="002421F0"/>
    <w:rsid w:val="00242C29"/>
    <w:rsid w:val="00242DE1"/>
    <w:rsid w:val="00242F4D"/>
    <w:rsid w:val="0024339A"/>
    <w:rsid w:val="00243641"/>
    <w:rsid w:val="002437DD"/>
    <w:rsid w:val="00244113"/>
    <w:rsid w:val="0024412D"/>
    <w:rsid w:val="0024446E"/>
    <w:rsid w:val="00244540"/>
    <w:rsid w:val="0024454E"/>
    <w:rsid w:val="00244E74"/>
    <w:rsid w:val="00245579"/>
    <w:rsid w:val="0024599B"/>
    <w:rsid w:val="00245D0A"/>
    <w:rsid w:val="0024603E"/>
    <w:rsid w:val="002461C3"/>
    <w:rsid w:val="002469FC"/>
    <w:rsid w:val="00246CD4"/>
    <w:rsid w:val="00246D97"/>
    <w:rsid w:val="0024708E"/>
    <w:rsid w:val="0024798E"/>
    <w:rsid w:val="002479E3"/>
    <w:rsid w:val="00247C17"/>
    <w:rsid w:val="00247C1D"/>
    <w:rsid w:val="00247D11"/>
    <w:rsid w:val="00247D89"/>
    <w:rsid w:val="00247E8D"/>
    <w:rsid w:val="00247FBD"/>
    <w:rsid w:val="00250259"/>
    <w:rsid w:val="00250815"/>
    <w:rsid w:val="00250F16"/>
    <w:rsid w:val="002510E5"/>
    <w:rsid w:val="002514E8"/>
    <w:rsid w:val="002517FA"/>
    <w:rsid w:val="00252241"/>
    <w:rsid w:val="00252749"/>
    <w:rsid w:val="00252A43"/>
    <w:rsid w:val="00252B60"/>
    <w:rsid w:val="00252BD1"/>
    <w:rsid w:val="00252C9A"/>
    <w:rsid w:val="00252D44"/>
    <w:rsid w:val="00252DBC"/>
    <w:rsid w:val="00252EA6"/>
    <w:rsid w:val="0025301A"/>
    <w:rsid w:val="002533AA"/>
    <w:rsid w:val="00253635"/>
    <w:rsid w:val="002536A4"/>
    <w:rsid w:val="00253CF7"/>
    <w:rsid w:val="00253E9D"/>
    <w:rsid w:val="00253FB7"/>
    <w:rsid w:val="00253FBA"/>
    <w:rsid w:val="002541E7"/>
    <w:rsid w:val="00254E40"/>
    <w:rsid w:val="002553E6"/>
    <w:rsid w:val="002555F0"/>
    <w:rsid w:val="00255817"/>
    <w:rsid w:val="002559A4"/>
    <w:rsid w:val="00255C09"/>
    <w:rsid w:val="00255E50"/>
    <w:rsid w:val="002560F6"/>
    <w:rsid w:val="0025626A"/>
    <w:rsid w:val="00256328"/>
    <w:rsid w:val="0025665A"/>
    <w:rsid w:val="00256EEE"/>
    <w:rsid w:val="00257239"/>
    <w:rsid w:val="0025726D"/>
    <w:rsid w:val="00257C19"/>
    <w:rsid w:val="00260006"/>
    <w:rsid w:val="002604B0"/>
    <w:rsid w:val="0026084E"/>
    <w:rsid w:val="00260EB3"/>
    <w:rsid w:val="00260FFD"/>
    <w:rsid w:val="00261335"/>
    <w:rsid w:val="00261579"/>
    <w:rsid w:val="002617C7"/>
    <w:rsid w:val="002619F2"/>
    <w:rsid w:val="00261E1D"/>
    <w:rsid w:val="00261E63"/>
    <w:rsid w:val="00262256"/>
    <w:rsid w:val="00262601"/>
    <w:rsid w:val="00262697"/>
    <w:rsid w:val="00262CD3"/>
    <w:rsid w:val="00262CE8"/>
    <w:rsid w:val="00262D00"/>
    <w:rsid w:val="00262D9A"/>
    <w:rsid w:val="00262EC1"/>
    <w:rsid w:val="002635B5"/>
    <w:rsid w:val="00263A7B"/>
    <w:rsid w:val="00263D88"/>
    <w:rsid w:val="00263E42"/>
    <w:rsid w:val="0026461B"/>
    <w:rsid w:val="002647D1"/>
    <w:rsid w:val="002647D7"/>
    <w:rsid w:val="002652AC"/>
    <w:rsid w:val="0026564B"/>
    <w:rsid w:val="00265847"/>
    <w:rsid w:val="00265859"/>
    <w:rsid w:val="002658E7"/>
    <w:rsid w:val="00265A09"/>
    <w:rsid w:val="00265A59"/>
    <w:rsid w:val="00265AD2"/>
    <w:rsid w:val="00265C40"/>
    <w:rsid w:val="00265D13"/>
    <w:rsid w:val="0026607A"/>
    <w:rsid w:val="0026608A"/>
    <w:rsid w:val="002661E7"/>
    <w:rsid w:val="002662E2"/>
    <w:rsid w:val="00266622"/>
    <w:rsid w:val="00266CAB"/>
    <w:rsid w:val="0026741D"/>
    <w:rsid w:val="002676BB"/>
    <w:rsid w:val="00267702"/>
    <w:rsid w:val="00267A28"/>
    <w:rsid w:val="00267DC6"/>
    <w:rsid w:val="00270326"/>
    <w:rsid w:val="002703DD"/>
    <w:rsid w:val="00270452"/>
    <w:rsid w:val="00270839"/>
    <w:rsid w:val="00270F79"/>
    <w:rsid w:val="0027102E"/>
    <w:rsid w:val="0027132E"/>
    <w:rsid w:val="00271EDE"/>
    <w:rsid w:val="0027227B"/>
    <w:rsid w:val="00272474"/>
    <w:rsid w:val="0027283D"/>
    <w:rsid w:val="00272CAE"/>
    <w:rsid w:val="00272D90"/>
    <w:rsid w:val="00272D9C"/>
    <w:rsid w:val="00273327"/>
    <w:rsid w:val="0027350B"/>
    <w:rsid w:val="002739D3"/>
    <w:rsid w:val="00273A2D"/>
    <w:rsid w:val="00273D12"/>
    <w:rsid w:val="00273DC6"/>
    <w:rsid w:val="00273DE3"/>
    <w:rsid w:val="00274205"/>
    <w:rsid w:val="0027453E"/>
    <w:rsid w:val="0027457B"/>
    <w:rsid w:val="0027478F"/>
    <w:rsid w:val="00274977"/>
    <w:rsid w:val="00274CAB"/>
    <w:rsid w:val="00274FFA"/>
    <w:rsid w:val="00275465"/>
    <w:rsid w:val="00275893"/>
    <w:rsid w:val="00275A54"/>
    <w:rsid w:val="00275AD3"/>
    <w:rsid w:val="00275B60"/>
    <w:rsid w:val="00275E77"/>
    <w:rsid w:val="00275FFC"/>
    <w:rsid w:val="002766A1"/>
    <w:rsid w:val="002770F4"/>
    <w:rsid w:val="002778DC"/>
    <w:rsid w:val="0027794D"/>
    <w:rsid w:val="0027797A"/>
    <w:rsid w:val="00277A30"/>
    <w:rsid w:val="00277B68"/>
    <w:rsid w:val="00277F29"/>
    <w:rsid w:val="00277F6D"/>
    <w:rsid w:val="0028030D"/>
    <w:rsid w:val="00280813"/>
    <w:rsid w:val="002809A2"/>
    <w:rsid w:val="00280C69"/>
    <w:rsid w:val="00280FE5"/>
    <w:rsid w:val="0028104A"/>
    <w:rsid w:val="002810E9"/>
    <w:rsid w:val="00281830"/>
    <w:rsid w:val="00281855"/>
    <w:rsid w:val="002820BE"/>
    <w:rsid w:val="00282117"/>
    <w:rsid w:val="00282B19"/>
    <w:rsid w:val="00282DFF"/>
    <w:rsid w:val="00282E83"/>
    <w:rsid w:val="00282F4A"/>
    <w:rsid w:val="00283177"/>
    <w:rsid w:val="00283254"/>
    <w:rsid w:val="002832EB"/>
    <w:rsid w:val="002833ED"/>
    <w:rsid w:val="00283905"/>
    <w:rsid w:val="00283F66"/>
    <w:rsid w:val="0028415F"/>
    <w:rsid w:val="0028417E"/>
    <w:rsid w:val="00284187"/>
    <w:rsid w:val="00284367"/>
    <w:rsid w:val="00284439"/>
    <w:rsid w:val="00284520"/>
    <w:rsid w:val="0028467B"/>
    <w:rsid w:val="00284A5F"/>
    <w:rsid w:val="00284CC1"/>
    <w:rsid w:val="00284E84"/>
    <w:rsid w:val="00285637"/>
    <w:rsid w:val="00285EFB"/>
    <w:rsid w:val="00286269"/>
    <w:rsid w:val="0028636D"/>
    <w:rsid w:val="002865FA"/>
    <w:rsid w:val="002868F8"/>
    <w:rsid w:val="002869C0"/>
    <w:rsid w:val="00286B25"/>
    <w:rsid w:val="0028755B"/>
    <w:rsid w:val="00290020"/>
    <w:rsid w:val="00290419"/>
    <w:rsid w:val="00290AAA"/>
    <w:rsid w:val="00290B2A"/>
    <w:rsid w:val="00291427"/>
    <w:rsid w:val="002918D7"/>
    <w:rsid w:val="00291CFD"/>
    <w:rsid w:val="00291E02"/>
    <w:rsid w:val="00292022"/>
    <w:rsid w:val="002920AC"/>
    <w:rsid w:val="002921C4"/>
    <w:rsid w:val="0029264D"/>
    <w:rsid w:val="0029270A"/>
    <w:rsid w:val="002932EC"/>
    <w:rsid w:val="00293690"/>
    <w:rsid w:val="00293C4F"/>
    <w:rsid w:val="00293E2D"/>
    <w:rsid w:val="00293F44"/>
    <w:rsid w:val="0029451A"/>
    <w:rsid w:val="00294592"/>
    <w:rsid w:val="00294860"/>
    <w:rsid w:val="0029558F"/>
    <w:rsid w:val="00295815"/>
    <w:rsid w:val="00295AAC"/>
    <w:rsid w:val="002960F3"/>
    <w:rsid w:val="002968C9"/>
    <w:rsid w:val="00296B7E"/>
    <w:rsid w:val="00296FCC"/>
    <w:rsid w:val="002976AF"/>
    <w:rsid w:val="00297836"/>
    <w:rsid w:val="00297B1F"/>
    <w:rsid w:val="00297B7D"/>
    <w:rsid w:val="00297C07"/>
    <w:rsid w:val="002A083B"/>
    <w:rsid w:val="002A1083"/>
    <w:rsid w:val="002A13A0"/>
    <w:rsid w:val="002A1AD8"/>
    <w:rsid w:val="002A1EE9"/>
    <w:rsid w:val="002A271D"/>
    <w:rsid w:val="002A2BD7"/>
    <w:rsid w:val="002A3790"/>
    <w:rsid w:val="002A3BFD"/>
    <w:rsid w:val="002A3D19"/>
    <w:rsid w:val="002A429C"/>
    <w:rsid w:val="002A439C"/>
    <w:rsid w:val="002A4B2C"/>
    <w:rsid w:val="002A5089"/>
    <w:rsid w:val="002A5C74"/>
    <w:rsid w:val="002A61D2"/>
    <w:rsid w:val="002A676A"/>
    <w:rsid w:val="002A6AD1"/>
    <w:rsid w:val="002A6E5F"/>
    <w:rsid w:val="002A6EC3"/>
    <w:rsid w:val="002A6F0D"/>
    <w:rsid w:val="002A7425"/>
    <w:rsid w:val="002B0225"/>
    <w:rsid w:val="002B02CB"/>
    <w:rsid w:val="002B04DD"/>
    <w:rsid w:val="002B05C7"/>
    <w:rsid w:val="002B06D6"/>
    <w:rsid w:val="002B0745"/>
    <w:rsid w:val="002B09CD"/>
    <w:rsid w:val="002B0A10"/>
    <w:rsid w:val="002B0B00"/>
    <w:rsid w:val="002B0D87"/>
    <w:rsid w:val="002B111D"/>
    <w:rsid w:val="002B11FF"/>
    <w:rsid w:val="002B1579"/>
    <w:rsid w:val="002B1854"/>
    <w:rsid w:val="002B1AC9"/>
    <w:rsid w:val="002B1DD3"/>
    <w:rsid w:val="002B1E10"/>
    <w:rsid w:val="002B1E9E"/>
    <w:rsid w:val="002B1EDE"/>
    <w:rsid w:val="002B2068"/>
    <w:rsid w:val="002B2540"/>
    <w:rsid w:val="002B25CC"/>
    <w:rsid w:val="002B2C2C"/>
    <w:rsid w:val="002B2C81"/>
    <w:rsid w:val="002B34C0"/>
    <w:rsid w:val="002B34EB"/>
    <w:rsid w:val="002B36AF"/>
    <w:rsid w:val="002B3BEC"/>
    <w:rsid w:val="002B3DE5"/>
    <w:rsid w:val="002B429D"/>
    <w:rsid w:val="002B433E"/>
    <w:rsid w:val="002B446A"/>
    <w:rsid w:val="002B4AB3"/>
    <w:rsid w:val="002B4CE9"/>
    <w:rsid w:val="002B4D87"/>
    <w:rsid w:val="002B51D0"/>
    <w:rsid w:val="002B55F3"/>
    <w:rsid w:val="002B57A9"/>
    <w:rsid w:val="002B5E9D"/>
    <w:rsid w:val="002B6395"/>
    <w:rsid w:val="002B639A"/>
    <w:rsid w:val="002B68E0"/>
    <w:rsid w:val="002B717C"/>
    <w:rsid w:val="002B72D7"/>
    <w:rsid w:val="002B738D"/>
    <w:rsid w:val="002B75CC"/>
    <w:rsid w:val="002B7A9E"/>
    <w:rsid w:val="002B7BC5"/>
    <w:rsid w:val="002B7C3A"/>
    <w:rsid w:val="002C034B"/>
    <w:rsid w:val="002C0811"/>
    <w:rsid w:val="002C088E"/>
    <w:rsid w:val="002C08CB"/>
    <w:rsid w:val="002C08D0"/>
    <w:rsid w:val="002C0A56"/>
    <w:rsid w:val="002C1639"/>
    <w:rsid w:val="002C16E7"/>
    <w:rsid w:val="002C17F5"/>
    <w:rsid w:val="002C17FA"/>
    <w:rsid w:val="002C18D8"/>
    <w:rsid w:val="002C1E1E"/>
    <w:rsid w:val="002C1FF5"/>
    <w:rsid w:val="002C24AD"/>
    <w:rsid w:val="002C2654"/>
    <w:rsid w:val="002C27CE"/>
    <w:rsid w:val="002C2D5B"/>
    <w:rsid w:val="002C2F4D"/>
    <w:rsid w:val="002C3345"/>
    <w:rsid w:val="002C3478"/>
    <w:rsid w:val="002C36F2"/>
    <w:rsid w:val="002C38B4"/>
    <w:rsid w:val="002C3BB2"/>
    <w:rsid w:val="002C40A1"/>
    <w:rsid w:val="002C46B3"/>
    <w:rsid w:val="002C46EA"/>
    <w:rsid w:val="002C4749"/>
    <w:rsid w:val="002C484B"/>
    <w:rsid w:val="002C4C8F"/>
    <w:rsid w:val="002C4E58"/>
    <w:rsid w:val="002C4F68"/>
    <w:rsid w:val="002C5212"/>
    <w:rsid w:val="002C5F12"/>
    <w:rsid w:val="002C6891"/>
    <w:rsid w:val="002C6A56"/>
    <w:rsid w:val="002C6A83"/>
    <w:rsid w:val="002C720E"/>
    <w:rsid w:val="002C73B3"/>
    <w:rsid w:val="002C788F"/>
    <w:rsid w:val="002C7E1C"/>
    <w:rsid w:val="002D00A3"/>
    <w:rsid w:val="002D087B"/>
    <w:rsid w:val="002D0923"/>
    <w:rsid w:val="002D0BCE"/>
    <w:rsid w:val="002D0C19"/>
    <w:rsid w:val="002D0C59"/>
    <w:rsid w:val="002D0C83"/>
    <w:rsid w:val="002D0C99"/>
    <w:rsid w:val="002D0E54"/>
    <w:rsid w:val="002D154D"/>
    <w:rsid w:val="002D1974"/>
    <w:rsid w:val="002D1B5F"/>
    <w:rsid w:val="002D1C44"/>
    <w:rsid w:val="002D282D"/>
    <w:rsid w:val="002D2956"/>
    <w:rsid w:val="002D2ADE"/>
    <w:rsid w:val="002D2F41"/>
    <w:rsid w:val="002D2F64"/>
    <w:rsid w:val="002D34E6"/>
    <w:rsid w:val="002D371B"/>
    <w:rsid w:val="002D3739"/>
    <w:rsid w:val="002D3E06"/>
    <w:rsid w:val="002D4020"/>
    <w:rsid w:val="002D465B"/>
    <w:rsid w:val="002D4919"/>
    <w:rsid w:val="002D4A80"/>
    <w:rsid w:val="002D4F07"/>
    <w:rsid w:val="002D5DDD"/>
    <w:rsid w:val="002D5FB1"/>
    <w:rsid w:val="002D6076"/>
    <w:rsid w:val="002D6137"/>
    <w:rsid w:val="002D6707"/>
    <w:rsid w:val="002D6A77"/>
    <w:rsid w:val="002D73F9"/>
    <w:rsid w:val="002D74E0"/>
    <w:rsid w:val="002D7845"/>
    <w:rsid w:val="002D7A31"/>
    <w:rsid w:val="002E0337"/>
    <w:rsid w:val="002E036F"/>
    <w:rsid w:val="002E0997"/>
    <w:rsid w:val="002E1435"/>
    <w:rsid w:val="002E15C8"/>
    <w:rsid w:val="002E173F"/>
    <w:rsid w:val="002E1A60"/>
    <w:rsid w:val="002E24D5"/>
    <w:rsid w:val="002E25DB"/>
    <w:rsid w:val="002E26EE"/>
    <w:rsid w:val="002E271E"/>
    <w:rsid w:val="002E272E"/>
    <w:rsid w:val="002E2B05"/>
    <w:rsid w:val="002E2BE9"/>
    <w:rsid w:val="002E2D6C"/>
    <w:rsid w:val="002E3476"/>
    <w:rsid w:val="002E35B3"/>
    <w:rsid w:val="002E3A54"/>
    <w:rsid w:val="002E3BD7"/>
    <w:rsid w:val="002E3F75"/>
    <w:rsid w:val="002E407E"/>
    <w:rsid w:val="002E44C5"/>
    <w:rsid w:val="002E4956"/>
    <w:rsid w:val="002E4D02"/>
    <w:rsid w:val="002E4F36"/>
    <w:rsid w:val="002E51A4"/>
    <w:rsid w:val="002E5330"/>
    <w:rsid w:val="002E55A2"/>
    <w:rsid w:val="002E5B49"/>
    <w:rsid w:val="002E5B91"/>
    <w:rsid w:val="002E5C52"/>
    <w:rsid w:val="002E6235"/>
    <w:rsid w:val="002E63C7"/>
    <w:rsid w:val="002E674A"/>
    <w:rsid w:val="002E67E7"/>
    <w:rsid w:val="002E6812"/>
    <w:rsid w:val="002E6ABF"/>
    <w:rsid w:val="002E6B2B"/>
    <w:rsid w:val="002E6E86"/>
    <w:rsid w:val="002E6FDF"/>
    <w:rsid w:val="002E7491"/>
    <w:rsid w:val="002E7660"/>
    <w:rsid w:val="002E7764"/>
    <w:rsid w:val="002E7784"/>
    <w:rsid w:val="002E780D"/>
    <w:rsid w:val="002E78E8"/>
    <w:rsid w:val="002E7AE8"/>
    <w:rsid w:val="002E7B67"/>
    <w:rsid w:val="002F0385"/>
    <w:rsid w:val="002F03B7"/>
    <w:rsid w:val="002F053B"/>
    <w:rsid w:val="002F1791"/>
    <w:rsid w:val="002F1837"/>
    <w:rsid w:val="002F1CD5"/>
    <w:rsid w:val="002F1DB2"/>
    <w:rsid w:val="002F1FBE"/>
    <w:rsid w:val="002F1FD2"/>
    <w:rsid w:val="002F271A"/>
    <w:rsid w:val="002F278A"/>
    <w:rsid w:val="002F2F91"/>
    <w:rsid w:val="002F3196"/>
    <w:rsid w:val="002F3993"/>
    <w:rsid w:val="002F3ACB"/>
    <w:rsid w:val="002F3D42"/>
    <w:rsid w:val="002F3DC5"/>
    <w:rsid w:val="002F4167"/>
    <w:rsid w:val="002F4181"/>
    <w:rsid w:val="002F42DC"/>
    <w:rsid w:val="002F4302"/>
    <w:rsid w:val="002F48A3"/>
    <w:rsid w:val="002F48FD"/>
    <w:rsid w:val="002F4A0C"/>
    <w:rsid w:val="002F4A63"/>
    <w:rsid w:val="002F4C00"/>
    <w:rsid w:val="002F5ACA"/>
    <w:rsid w:val="002F6187"/>
    <w:rsid w:val="002F62BA"/>
    <w:rsid w:val="002F6388"/>
    <w:rsid w:val="002F6570"/>
    <w:rsid w:val="002F6A8C"/>
    <w:rsid w:val="002F6C2A"/>
    <w:rsid w:val="002F7510"/>
    <w:rsid w:val="002F7E3E"/>
    <w:rsid w:val="0030014B"/>
    <w:rsid w:val="00300433"/>
    <w:rsid w:val="00300526"/>
    <w:rsid w:val="003006E7"/>
    <w:rsid w:val="00300A06"/>
    <w:rsid w:val="00300A8D"/>
    <w:rsid w:val="0030122D"/>
    <w:rsid w:val="0030171F"/>
    <w:rsid w:val="0030196C"/>
    <w:rsid w:val="00301B0D"/>
    <w:rsid w:val="00301D6A"/>
    <w:rsid w:val="00301EFA"/>
    <w:rsid w:val="00301FCC"/>
    <w:rsid w:val="00302763"/>
    <w:rsid w:val="00302B60"/>
    <w:rsid w:val="00302D5C"/>
    <w:rsid w:val="00302E42"/>
    <w:rsid w:val="00302E8A"/>
    <w:rsid w:val="00302E94"/>
    <w:rsid w:val="00303015"/>
    <w:rsid w:val="00303497"/>
    <w:rsid w:val="003036AD"/>
    <w:rsid w:val="0030379D"/>
    <w:rsid w:val="003038CB"/>
    <w:rsid w:val="00303943"/>
    <w:rsid w:val="00304071"/>
    <w:rsid w:val="00304479"/>
    <w:rsid w:val="00304796"/>
    <w:rsid w:val="003047AF"/>
    <w:rsid w:val="00304EB3"/>
    <w:rsid w:val="00304EC9"/>
    <w:rsid w:val="00305128"/>
    <w:rsid w:val="003052C0"/>
    <w:rsid w:val="00306465"/>
    <w:rsid w:val="0030648A"/>
    <w:rsid w:val="00306BCE"/>
    <w:rsid w:val="00306DBB"/>
    <w:rsid w:val="00306EA9"/>
    <w:rsid w:val="00306F18"/>
    <w:rsid w:val="0030705A"/>
    <w:rsid w:val="00307B31"/>
    <w:rsid w:val="00307C34"/>
    <w:rsid w:val="00307DA2"/>
    <w:rsid w:val="00307DAA"/>
    <w:rsid w:val="00307DD8"/>
    <w:rsid w:val="00310081"/>
    <w:rsid w:val="003100C1"/>
    <w:rsid w:val="0031040B"/>
    <w:rsid w:val="0031046B"/>
    <w:rsid w:val="0031072C"/>
    <w:rsid w:val="00310901"/>
    <w:rsid w:val="00310EB2"/>
    <w:rsid w:val="00311507"/>
    <w:rsid w:val="00311D14"/>
    <w:rsid w:val="00311D70"/>
    <w:rsid w:val="00311EF9"/>
    <w:rsid w:val="003124BC"/>
    <w:rsid w:val="00312747"/>
    <w:rsid w:val="00312B6C"/>
    <w:rsid w:val="00312C3D"/>
    <w:rsid w:val="00312E53"/>
    <w:rsid w:val="00312FFC"/>
    <w:rsid w:val="003130E5"/>
    <w:rsid w:val="0031372A"/>
    <w:rsid w:val="0031384E"/>
    <w:rsid w:val="00314035"/>
    <w:rsid w:val="0031453A"/>
    <w:rsid w:val="0031464C"/>
    <w:rsid w:val="00314C17"/>
    <w:rsid w:val="00314DB0"/>
    <w:rsid w:val="00314DB7"/>
    <w:rsid w:val="00314F95"/>
    <w:rsid w:val="00315017"/>
    <w:rsid w:val="00315600"/>
    <w:rsid w:val="003156A6"/>
    <w:rsid w:val="00315A8C"/>
    <w:rsid w:val="00315DEB"/>
    <w:rsid w:val="00315E60"/>
    <w:rsid w:val="00315F77"/>
    <w:rsid w:val="00316595"/>
    <w:rsid w:val="00316A07"/>
    <w:rsid w:val="00316AB2"/>
    <w:rsid w:val="003170F6"/>
    <w:rsid w:val="003173FB"/>
    <w:rsid w:val="003175E3"/>
    <w:rsid w:val="003176C7"/>
    <w:rsid w:val="0032082A"/>
    <w:rsid w:val="00321007"/>
    <w:rsid w:val="00321552"/>
    <w:rsid w:val="00321D66"/>
    <w:rsid w:val="00321EE2"/>
    <w:rsid w:val="003220E3"/>
    <w:rsid w:val="00322EBD"/>
    <w:rsid w:val="00322FEE"/>
    <w:rsid w:val="00323460"/>
    <w:rsid w:val="00323AFC"/>
    <w:rsid w:val="00323CEE"/>
    <w:rsid w:val="00323F04"/>
    <w:rsid w:val="00324259"/>
    <w:rsid w:val="00324497"/>
    <w:rsid w:val="0032488E"/>
    <w:rsid w:val="00324937"/>
    <w:rsid w:val="00324F44"/>
    <w:rsid w:val="00324F75"/>
    <w:rsid w:val="003250FE"/>
    <w:rsid w:val="00325971"/>
    <w:rsid w:val="003259D4"/>
    <w:rsid w:val="00325C68"/>
    <w:rsid w:val="00325CE7"/>
    <w:rsid w:val="00325FFD"/>
    <w:rsid w:val="00326129"/>
    <w:rsid w:val="00326482"/>
    <w:rsid w:val="0032698A"/>
    <w:rsid w:val="00326C9F"/>
    <w:rsid w:val="0032733A"/>
    <w:rsid w:val="00327387"/>
    <w:rsid w:val="003276E3"/>
    <w:rsid w:val="00327B03"/>
    <w:rsid w:val="00327EF9"/>
    <w:rsid w:val="003301E9"/>
    <w:rsid w:val="00330243"/>
    <w:rsid w:val="003304C7"/>
    <w:rsid w:val="0033081A"/>
    <w:rsid w:val="003309FB"/>
    <w:rsid w:val="00330B0D"/>
    <w:rsid w:val="00330C5D"/>
    <w:rsid w:val="003310D7"/>
    <w:rsid w:val="00331288"/>
    <w:rsid w:val="00331550"/>
    <w:rsid w:val="003317AF"/>
    <w:rsid w:val="00331F77"/>
    <w:rsid w:val="0033237A"/>
    <w:rsid w:val="003324CA"/>
    <w:rsid w:val="00332565"/>
    <w:rsid w:val="003326CB"/>
    <w:rsid w:val="00332902"/>
    <w:rsid w:val="00332D6E"/>
    <w:rsid w:val="00332DD8"/>
    <w:rsid w:val="00332E3C"/>
    <w:rsid w:val="00332F53"/>
    <w:rsid w:val="00333352"/>
    <w:rsid w:val="00333723"/>
    <w:rsid w:val="00333783"/>
    <w:rsid w:val="00333BB3"/>
    <w:rsid w:val="00333FF4"/>
    <w:rsid w:val="003341E6"/>
    <w:rsid w:val="003343D0"/>
    <w:rsid w:val="00334479"/>
    <w:rsid w:val="003344FC"/>
    <w:rsid w:val="003345BF"/>
    <w:rsid w:val="003346A2"/>
    <w:rsid w:val="00334A60"/>
    <w:rsid w:val="00334D94"/>
    <w:rsid w:val="00334E15"/>
    <w:rsid w:val="00334FD0"/>
    <w:rsid w:val="00335024"/>
    <w:rsid w:val="00335751"/>
    <w:rsid w:val="003358AA"/>
    <w:rsid w:val="003359A3"/>
    <w:rsid w:val="00335A5E"/>
    <w:rsid w:val="00335B55"/>
    <w:rsid w:val="00335EA4"/>
    <w:rsid w:val="00335F86"/>
    <w:rsid w:val="00335FE1"/>
    <w:rsid w:val="003362D8"/>
    <w:rsid w:val="003365BB"/>
    <w:rsid w:val="00336A6E"/>
    <w:rsid w:val="00336F23"/>
    <w:rsid w:val="00336F9E"/>
    <w:rsid w:val="00337613"/>
    <w:rsid w:val="00337A5E"/>
    <w:rsid w:val="00337D04"/>
    <w:rsid w:val="003401DA"/>
    <w:rsid w:val="00340208"/>
    <w:rsid w:val="00340426"/>
    <w:rsid w:val="00340B5E"/>
    <w:rsid w:val="00340D7A"/>
    <w:rsid w:val="0034157C"/>
    <w:rsid w:val="00341852"/>
    <w:rsid w:val="0034236D"/>
    <w:rsid w:val="003427B0"/>
    <w:rsid w:val="003427F4"/>
    <w:rsid w:val="00342850"/>
    <w:rsid w:val="003428FD"/>
    <w:rsid w:val="00342B55"/>
    <w:rsid w:val="00342E6A"/>
    <w:rsid w:val="003432C8"/>
    <w:rsid w:val="0034341A"/>
    <w:rsid w:val="00343501"/>
    <w:rsid w:val="00343637"/>
    <w:rsid w:val="0034367E"/>
    <w:rsid w:val="00343681"/>
    <w:rsid w:val="003436A9"/>
    <w:rsid w:val="0034392C"/>
    <w:rsid w:val="00343D87"/>
    <w:rsid w:val="00343DF8"/>
    <w:rsid w:val="003443B7"/>
    <w:rsid w:val="003450B1"/>
    <w:rsid w:val="00345468"/>
    <w:rsid w:val="00345CD4"/>
    <w:rsid w:val="00345CDD"/>
    <w:rsid w:val="00345E8D"/>
    <w:rsid w:val="00345FF9"/>
    <w:rsid w:val="0034613F"/>
    <w:rsid w:val="00346A66"/>
    <w:rsid w:val="00346D02"/>
    <w:rsid w:val="00346ED3"/>
    <w:rsid w:val="00347657"/>
    <w:rsid w:val="003478F5"/>
    <w:rsid w:val="00347C75"/>
    <w:rsid w:val="00350105"/>
    <w:rsid w:val="003501DD"/>
    <w:rsid w:val="003502DD"/>
    <w:rsid w:val="003508AD"/>
    <w:rsid w:val="00350B38"/>
    <w:rsid w:val="00350F2B"/>
    <w:rsid w:val="003512AF"/>
    <w:rsid w:val="00351427"/>
    <w:rsid w:val="003514C4"/>
    <w:rsid w:val="00351DE8"/>
    <w:rsid w:val="0035214E"/>
    <w:rsid w:val="00352426"/>
    <w:rsid w:val="00352FB9"/>
    <w:rsid w:val="003531B2"/>
    <w:rsid w:val="00353333"/>
    <w:rsid w:val="00353542"/>
    <w:rsid w:val="003537B9"/>
    <w:rsid w:val="003537CC"/>
    <w:rsid w:val="00353991"/>
    <w:rsid w:val="00353D2B"/>
    <w:rsid w:val="00353FD7"/>
    <w:rsid w:val="0035405C"/>
    <w:rsid w:val="0035431F"/>
    <w:rsid w:val="003543D5"/>
    <w:rsid w:val="00354768"/>
    <w:rsid w:val="00354C94"/>
    <w:rsid w:val="00355064"/>
    <w:rsid w:val="0035520C"/>
    <w:rsid w:val="003561C5"/>
    <w:rsid w:val="003567A6"/>
    <w:rsid w:val="00356CB6"/>
    <w:rsid w:val="00356DCF"/>
    <w:rsid w:val="00357207"/>
    <w:rsid w:val="003574B2"/>
    <w:rsid w:val="00357870"/>
    <w:rsid w:val="00357F6F"/>
    <w:rsid w:val="003602B3"/>
    <w:rsid w:val="00360BEC"/>
    <w:rsid w:val="00360BFE"/>
    <w:rsid w:val="00360C92"/>
    <w:rsid w:val="00361011"/>
    <w:rsid w:val="00361026"/>
    <w:rsid w:val="0036109C"/>
    <w:rsid w:val="003613A8"/>
    <w:rsid w:val="00361435"/>
    <w:rsid w:val="00361491"/>
    <w:rsid w:val="00361678"/>
    <w:rsid w:val="003616EF"/>
    <w:rsid w:val="00361788"/>
    <w:rsid w:val="00361A71"/>
    <w:rsid w:val="0036208B"/>
    <w:rsid w:val="0036272A"/>
    <w:rsid w:val="00362B30"/>
    <w:rsid w:val="00362FA1"/>
    <w:rsid w:val="0036312F"/>
    <w:rsid w:val="003632B6"/>
    <w:rsid w:val="00363482"/>
    <w:rsid w:val="0036351D"/>
    <w:rsid w:val="003636BA"/>
    <w:rsid w:val="0036389B"/>
    <w:rsid w:val="00363F3C"/>
    <w:rsid w:val="003640F3"/>
    <w:rsid w:val="00364132"/>
    <w:rsid w:val="003642FF"/>
    <w:rsid w:val="00364A78"/>
    <w:rsid w:val="00364C30"/>
    <w:rsid w:val="00364D0A"/>
    <w:rsid w:val="00364E54"/>
    <w:rsid w:val="00364E7F"/>
    <w:rsid w:val="0036548D"/>
    <w:rsid w:val="00365B21"/>
    <w:rsid w:val="00365B64"/>
    <w:rsid w:val="00365B94"/>
    <w:rsid w:val="00365F03"/>
    <w:rsid w:val="0036622A"/>
    <w:rsid w:val="0036684F"/>
    <w:rsid w:val="00366A5C"/>
    <w:rsid w:val="0036769E"/>
    <w:rsid w:val="003676BB"/>
    <w:rsid w:val="00367A91"/>
    <w:rsid w:val="00367B50"/>
    <w:rsid w:val="00367B54"/>
    <w:rsid w:val="00370014"/>
    <w:rsid w:val="00370CD8"/>
    <w:rsid w:val="00370CDE"/>
    <w:rsid w:val="00370D19"/>
    <w:rsid w:val="00370DEA"/>
    <w:rsid w:val="00370E6B"/>
    <w:rsid w:val="00370F3D"/>
    <w:rsid w:val="00371D2B"/>
    <w:rsid w:val="00371F2A"/>
    <w:rsid w:val="003720AD"/>
    <w:rsid w:val="003720D5"/>
    <w:rsid w:val="0037222C"/>
    <w:rsid w:val="003724CB"/>
    <w:rsid w:val="00372755"/>
    <w:rsid w:val="00372888"/>
    <w:rsid w:val="00372E31"/>
    <w:rsid w:val="00373006"/>
    <w:rsid w:val="00373574"/>
    <w:rsid w:val="00373582"/>
    <w:rsid w:val="00373D7E"/>
    <w:rsid w:val="00373F41"/>
    <w:rsid w:val="0037459C"/>
    <w:rsid w:val="003745A3"/>
    <w:rsid w:val="003746AC"/>
    <w:rsid w:val="00374AC2"/>
    <w:rsid w:val="00374E69"/>
    <w:rsid w:val="0037510C"/>
    <w:rsid w:val="00375737"/>
    <w:rsid w:val="00375B1E"/>
    <w:rsid w:val="00376137"/>
    <w:rsid w:val="00376B30"/>
    <w:rsid w:val="00376C8D"/>
    <w:rsid w:val="00376D03"/>
    <w:rsid w:val="00376F94"/>
    <w:rsid w:val="0037730E"/>
    <w:rsid w:val="00377374"/>
    <w:rsid w:val="00377482"/>
    <w:rsid w:val="00377865"/>
    <w:rsid w:val="00377D39"/>
    <w:rsid w:val="00377DF7"/>
    <w:rsid w:val="00380234"/>
    <w:rsid w:val="0038032F"/>
    <w:rsid w:val="00380411"/>
    <w:rsid w:val="003805AF"/>
    <w:rsid w:val="00380854"/>
    <w:rsid w:val="00380CA3"/>
    <w:rsid w:val="00380D90"/>
    <w:rsid w:val="00381180"/>
    <w:rsid w:val="00381587"/>
    <w:rsid w:val="003818FB"/>
    <w:rsid w:val="00381E46"/>
    <w:rsid w:val="00382216"/>
    <w:rsid w:val="0038237B"/>
    <w:rsid w:val="003827E5"/>
    <w:rsid w:val="00382913"/>
    <w:rsid w:val="00382963"/>
    <w:rsid w:val="0038297C"/>
    <w:rsid w:val="00382986"/>
    <w:rsid w:val="00382B56"/>
    <w:rsid w:val="00382B91"/>
    <w:rsid w:val="00383154"/>
    <w:rsid w:val="00383432"/>
    <w:rsid w:val="00383571"/>
    <w:rsid w:val="003836A2"/>
    <w:rsid w:val="00383E30"/>
    <w:rsid w:val="003840E7"/>
    <w:rsid w:val="00384A48"/>
    <w:rsid w:val="00384C3E"/>
    <w:rsid w:val="00384DC1"/>
    <w:rsid w:val="00384EC3"/>
    <w:rsid w:val="00385043"/>
    <w:rsid w:val="003850E8"/>
    <w:rsid w:val="00385D57"/>
    <w:rsid w:val="00386006"/>
    <w:rsid w:val="003861E5"/>
    <w:rsid w:val="00386381"/>
    <w:rsid w:val="0038645C"/>
    <w:rsid w:val="00386966"/>
    <w:rsid w:val="003869C2"/>
    <w:rsid w:val="00386D4D"/>
    <w:rsid w:val="00386FD3"/>
    <w:rsid w:val="003870AA"/>
    <w:rsid w:val="003873A6"/>
    <w:rsid w:val="00387643"/>
    <w:rsid w:val="0038781B"/>
    <w:rsid w:val="003878CD"/>
    <w:rsid w:val="00387B1F"/>
    <w:rsid w:val="00387BA4"/>
    <w:rsid w:val="00387BFD"/>
    <w:rsid w:val="00387DB3"/>
    <w:rsid w:val="00390017"/>
    <w:rsid w:val="0039022D"/>
    <w:rsid w:val="0039031D"/>
    <w:rsid w:val="0039037A"/>
    <w:rsid w:val="003905E2"/>
    <w:rsid w:val="00390903"/>
    <w:rsid w:val="00391070"/>
    <w:rsid w:val="00391171"/>
    <w:rsid w:val="003914E7"/>
    <w:rsid w:val="003918D3"/>
    <w:rsid w:val="00391ACA"/>
    <w:rsid w:val="00391CEC"/>
    <w:rsid w:val="00391CF7"/>
    <w:rsid w:val="00391D92"/>
    <w:rsid w:val="00391F1E"/>
    <w:rsid w:val="0039273C"/>
    <w:rsid w:val="003927C8"/>
    <w:rsid w:val="003928AD"/>
    <w:rsid w:val="00392D7A"/>
    <w:rsid w:val="0039329D"/>
    <w:rsid w:val="00393306"/>
    <w:rsid w:val="003934C5"/>
    <w:rsid w:val="0039350B"/>
    <w:rsid w:val="003935E2"/>
    <w:rsid w:val="00393803"/>
    <w:rsid w:val="003939C6"/>
    <w:rsid w:val="00393BDC"/>
    <w:rsid w:val="00393C64"/>
    <w:rsid w:val="00393E66"/>
    <w:rsid w:val="00393F12"/>
    <w:rsid w:val="00393FB0"/>
    <w:rsid w:val="0039414E"/>
    <w:rsid w:val="00394151"/>
    <w:rsid w:val="003941EE"/>
    <w:rsid w:val="00394216"/>
    <w:rsid w:val="00394433"/>
    <w:rsid w:val="0039446F"/>
    <w:rsid w:val="0039462D"/>
    <w:rsid w:val="00394A5E"/>
    <w:rsid w:val="00394CC9"/>
    <w:rsid w:val="0039533D"/>
    <w:rsid w:val="003955B9"/>
    <w:rsid w:val="0039591E"/>
    <w:rsid w:val="003959B1"/>
    <w:rsid w:val="00395E56"/>
    <w:rsid w:val="00396093"/>
    <w:rsid w:val="003961A7"/>
    <w:rsid w:val="00396303"/>
    <w:rsid w:val="003964AE"/>
    <w:rsid w:val="00396725"/>
    <w:rsid w:val="00396B16"/>
    <w:rsid w:val="0039756D"/>
    <w:rsid w:val="0039791B"/>
    <w:rsid w:val="003A010D"/>
    <w:rsid w:val="003A059A"/>
    <w:rsid w:val="003A05AE"/>
    <w:rsid w:val="003A06B7"/>
    <w:rsid w:val="003A06CE"/>
    <w:rsid w:val="003A0787"/>
    <w:rsid w:val="003A09C3"/>
    <w:rsid w:val="003A0B43"/>
    <w:rsid w:val="003A0BC4"/>
    <w:rsid w:val="003A0E78"/>
    <w:rsid w:val="003A0F9A"/>
    <w:rsid w:val="003A0FC0"/>
    <w:rsid w:val="003A18AC"/>
    <w:rsid w:val="003A196D"/>
    <w:rsid w:val="003A1E53"/>
    <w:rsid w:val="003A1FFF"/>
    <w:rsid w:val="003A2052"/>
    <w:rsid w:val="003A212F"/>
    <w:rsid w:val="003A21BA"/>
    <w:rsid w:val="003A249A"/>
    <w:rsid w:val="003A3229"/>
    <w:rsid w:val="003A3520"/>
    <w:rsid w:val="003A372C"/>
    <w:rsid w:val="003A3FE8"/>
    <w:rsid w:val="003A4475"/>
    <w:rsid w:val="003A55B8"/>
    <w:rsid w:val="003A58A9"/>
    <w:rsid w:val="003A5AA8"/>
    <w:rsid w:val="003A5B99"/>
    <w:rsid w:val="003A5DE9"/>
    <w:rsid w:val="003A5E32"/>
    <w:rsid w:val="003A6149"/>
    <w:rsid w:val="003A61BD"/>
    <w:rsid w:val="003A6236"/>
    <w:rsid w:val="003A63C5"/>
    <w:rsid w:val="003A6A23"/>
    <w:rsid w:val="003A6AE8"/>
    <w:rsid w:val="003A6CFC"/>
    <w:rsid w:val="003A6F4F"/>
    <w:rsid w:val="003A73DF"/>
    <w:rsid w:val="003A75BE"/>
    <w:rsid w:val="003A76F1"/>
    <w:rsid w:val="003A79BE"/>
    <w:rsid w:val="003A7B83"/>
    <w:rsid w:val="003A7E49"/>
    <w:rsid w:val="003A7EB5"/>
    <w:rsid w:val="003B015E"/>
    <w:rsid w:val="003B0234"/>
    <w:rsid w:val="003B0495"/>
    <w:rsid w:val="003B0B0E"/>
    <w:rsid w:val="003B0C9D"/>
    <w:rsid w:val="003B0E99"/>
    <w:rsid w:val="003B1B4B"/>
    <w:rsid w:val="003B1F95"/>
    <w:rsid w:val="003B2506"/>
    <w:rsid w:val="003B2540"/>
    <w:rsid w:val="003B2729"/>
    <w:rsid w:val="003B2B69"/>
    <w:rsid w:val="003B3638"/>
    <w:rsid w:val="003B3BF9"/>
    <w:rsid w:val="003B3E40"/>
    <w:rsid w:val="003B4244"/>
    <w:rsid w:val="003B4600"/>
    <w:rsid w:val="003B4977"/>
    <w:rsid w:val="003B4B94"/>
    <w:rsid w:val="003B4BFE"/>
    <w:rsid w:val="003B52DB"/>
    <w:rsid w:val="003B53D8"/>
    <w:rsid w:val="003B5AEF"/>
    <w:rsid w:val="003B5F4D"/>
    <w:rsid w:val="003B6014"/>
    <w:rsid w:val="003B60E9"/>
    <w:rsid w:val="003B6120"/>
    <w:rsid w:val="003B6267"/>
    <w:rsid w:val="003B663C"/>
    <w:rsid w:val="003B6ACF"/>
    <w:rsid w:val="003B6CD7"/>
    <w:rsid w:val="003B757D"/>
    <w:rsid w:val="003B7647"/>
    <w:rsid w:val="003B7F08"/>
    <w:rsid w:val="003C01D1"/>
    <w:rsid w:val="003C0465"/>
    <w:rsid w:val="003C04C9"/>
    <w:rsid w:val="003C0670"/>
    <w:rsid w:val="003C06DA"/>
    <w:rsid w:val="003C0B08"/>
    <w:rsid w:val="003C1867"/>
    <w:rsid w:val="003C1B41"/>
    <w:rsid w:val="003C1C22"/>
    <w:rsid w:val="003C1D96"/>
    <w:rsid w:val="003C21AE"/>
    <w:rsid w:val="003C2700"/>
    <w:rsid w:val="003C2936"/>
    <w:rsid w:val="003C2B8F"/>
    <w:rsid w:val="003C2F7F"/>
    <w:rsid w:val="003C2FAA"/>
    <w:rsid w:val="003C3065"/>
    <w:rsid w:val="003C3144"/>
    <w:rsid w:val="003C3183"/>
    <w:rsid w:val="003C37C2"/>
    <w:rsid w:val="003C3BFE"/>
    <w:rsid w:val="003C3C62"/>
    <w:rsid w:val="003C3E59"/>
    <w:rsid w:val="003C4874"/>
    <w:rsid w:val="003C4D37"/>
    <w:rsid w:val="003C537E"/>
    <w:rsid w:val="003C575F"/>
    <w:rsid w:val="003C588C"/>
    <w:rsid w:val="003C5982"/>
    <w:rsid w:val="003C5B4D"/>
    <w:rsid w:val="003C606E"/>
    <w:rsid w:val="003C6576"/>
    <w:rsid w:val="003C6A0E"/>
    <w:rsid w:val="003C6E75"/>
    <w:rsid w:val="003C7194"/>
    <w:rsid w:val="003C7753"/>
    <w:rsid w:val="003C7927"/>
    <w:rsid w:val="003D06E4"/>
    <w:rsid w:val="003D0B81"/>
    <w:rsid w:val="003D0E8A"/>
    <w:rsid w:val="003D1398"/>
    <w:rsid w:val="003D1991"/>
    <w:rsid w:val="003D1B40"/>
    <w:rsid w:val="003D1CE3"/>
    <w:rsid w:val="003D1D72"/>
    <w:rsid w:val="003D1DEB"/>
    <w:rsid w:val="003D1EFA"/>
    <w:rsid w:val="003D246C"/>
    <w:rsid w:val="003D2A12"/>
    <w:rsid w:val="003D2C1E"/>
    <w:rsid w:val="003D2CC9"/>
    <w:rsid w:val="003D2FB3"/>
    <w:rsid w:val="003D3513"/>
    <w:rsid w:val="003D37BB"/>
    <w:rsid w:val="003D3A19"/>
    <w:rsid w:val="003D3F6E"/>
    <w:rsid w:val="003D40F3"/>
    <w:rsid w:val="003D42DD"/>
    <w:rsid w:val="003D4AC7"/>
    <w:rsid w:val="003D4F62"/>
    <w:rsid w:val="003D54AB"/>
    <w:rsid w:val="003D551D"/>
    <w:rsid w:val="003D58BD"/>
    <w:rsid w:val="003D5EED"/>
    <w:rsid w:val="003D663A"/>
    <w:rsid w:val="003D6C47"/>
    <w:rsid w:val="003D6C81"/>
    <w:rsid w:val="003D6CF7"/>
    <w:rsid w:val="003D6F0B"/>
    <w:rsid w:val="003D719B"/>
    <w:rsid w:val="003D7463"/>
    <w:rsid w:val="003D75EC"/>
    <w:rsid w:val="003D7865"/>
    <w:rsid w:val="003D7986"/>
    <w:rsid w:val="003E0BFB"/>
    <w:rsid w:val="003E0FC6"/>
    <w:rsid w:val="003E16D1"/>
    <w:rsid w:val="003E1B49"/>
    <w:rsid w:val="003E2135"/>
    <w:rsid w:val="003E230F"/>
    <w:rsid w:val="003E24CD"/>
    <w:rsid w:val="003E24E0"/>
    <w:rsid w:val="003E24EC"/>
    <w:rsid w:val="003E2DB4"/>
    <w:rsid w:val="003E343D"/>
    <w:rsid w:val="003E38DB"/>
    <w:rsid w:val="003E3A86"/>
    <w:rsid w:val="003E3C64"/>
    <w:rsid w:val="003E3F0D"/>
    <w:rsid w:val="003E4801"/>
    <w:rsid w:val="003E4B0D"/>
    <w:rsid w:val="003E5136"/>
    <w:rsid w:val="003E5226"/>
    <w:rsid w:val="003E5407"/>
    <w:rsid w:val="003E6233"/>
    <w:rsid w:val="003E638F"/>
    <w:rsid w:val="003E658E"/>
    <w:rsid w:val="003E65BD"/>
    <w:rsid w:val="003E69B5"/>
    <w:rsid w:val="003E69B9"/>
    <w:rsid w:val="003E6EBE"/>
    <w:rsid w:val="003E7070"/>
    <w:rsid w:val="003E7470"/>
    <w:rsid w:val="003E75CF"/>
    <w:rsid w:val="003E7615"/>
    <w:rsid w:val="003E7B41"/>
    <w:rsid w:val="003E7CB3"/>
    <w:rsid w:val="003E7D17"/>
    <w:rsid w:val="003E7FE9"/>
    <w:rsid w:val="003F023A"/>
    <w:rsid w:val="003F072F"/>
    <w:rsid w:val="003F0A35"/>
    <w:rsid w:val="003F1282"/>
    <w:rsid w:val="003F13B4"/>
    <w:rsid w:val="003F1476"/>
    <w:rsid w:val="003F1A0E"/>
    <w:rsid w:val="003F1EE7"/>
    <w:rsid w:val="003F210B"/>
    <w:rsid w:val="003F235C"/>
    <w:rsid w:val="003F24A2"/>
    <w:rsid w:val="003F2843"/>
    <w:rsid w:val="003F28F9"/>
    <w:rsid w:val="003F29FB"/>
    <w:rsid w:val="003F2AAD"/>
    <w:rsid w:val="003F2DA5"/>
    <w:rsid w:val="003F2E56"/>
    <w:rsid w:val="003F3252"/>
    <w:rsid w:val="003F3784"/>
    <w:rsid w:val="003F3C05"/>
    <w:rsid w:val="003F3D6B"/>
    <w:rsid w:val="003F3D71"/>
    <w:rsid w:val="003F45F1"/>
    <w:rsid w:val="003F491F"/>
    <w:rsid w:val="003F5320"/>
    <w:rsid w:val="003F54D2"/>
    <w:rsid w:val="003F57A2"/>
    <w:rsid w:val="003F5ADC"/>
    <w:rsid w:val="003F5E5D"/>
    <w:rsid w:val="003F5ED7"/>
    <w:rsid w:val="003F6C3D"/>
    <w:rsid w:val="003F6F50"/>
    <w:rsid w:val="003F7204"/>
    <w:rsid w:val="003F7481"/>
    <w:rsid w:val="003F7613"/>
    <w:rsid w:val="003F7668"/>
    <w:rsid w:val="003F7CC1"/>
    <w:rsid w:val="003F7E7E"/>
    <w:rsid w:val="004003A2"/>
    <w:rsid w:val="00400B64"/>
    <w:rsid w:val="00400BE2"/>
    <w:rsid w:val="00402187"/>
    <w:rsid w:val="0040243F"/>
    <w:rsid w:val="00402BB1"/>
    <w:rsid w:val="004032AC"/>
    <w:rsid w:val="0040343B"/>
    <w:rsid w:val="004039EA"/>
    <w:rsid w:val="00403F04"/>
    <w:rsid w:val="0040400C"/>
    <w:rsid w:val="00404108"/>
    <w:rsid w:val="0040441E"/>
    <w:rsid w:val="004045B3"/>
    <w:rsid w:val="004048C5"/>
    <w:rsid w:val="00404EBA"/>
    <w:rsid w:val="00404FA6"/>
    <w:rsid w:val="00405251"/>
    <w:rsid w:val="004057BE"/>
    <w:rsid w:val="00405A7D"/>
    <w:rsid w:val="00405B6F"/>
    <w:rsid w:val="00405EE7"/>
    <w:rsid w:val="00405F8D"/>
    <w:rsid w:val="00406180"/>
    <w:rsid w:val="004061B0"/>
    <w:rsid w:val="004066EF"/>
    <w:rsid w:val="00406787"/>
    <w:rsid w:val="00406D20"/>
    <w:rsid w:val="00406F58"/>
    <w:rsid w:val="004070B7"/>
    <w:rsid w:val="004079A4"/>
    <w:rsid w:val="00407A40"/>
    <w:rsid w:val="00407C7A"/>
    <w:rsid w:val="00407F77"/>
    <w:rsid w:val="004105DB"/>
    <w:rsid w:val="00410ECD"/>
    <w:rsid w:val="00411086"/>
    <w:rsid w:val="00411109"/>
    <w:rsid w:val="0041143A"/>
    <w:rsid w:val="0041147B"/>
    <w:rsid w:val="004115E8"/>
    <w:rsid w:val="004116D8"/>
    <w:rsid w:val="00411BF9"/>
    <w:rsid w:val="00411FAF"/>
    <w:rsid w:val="004127F8"/>
    <w:rsid w:val="00412FB2"/>
    <w:rsid w:val="00413080"/>
    <w:rsid w:val="00413586"/>
    <w:rsid w:val="004136E7"/>
    <w:rsid w:val="0041388D"/>
    <w:rsid w:val="00413F8D"/>
    <w:rsid w:val="0041470F"/>
    <w:rsid w:val="00414717"/>
    <w:rsid w:val="00414BD6"/>
    <w:rsid w:val="0041502F"/>
    <w:rsid w:val="00415142"/>
    <w:rsid w:val="00415201"/>
    <w:rsid w:val="00415B2E"/>
    <w:rsid w:val="00415C35"/>
    <w:rsid w:val="00415D99"/>
    <w:rsid w:val="00415EE8"/>
    <w:rsid w:val="00416169"/>
    <w:rsid w:val="00416208"/>
    <w:rsid w:val="00416263"/>
    <w:rsid w:val="0041629C"/>
    <w:rsid w:val="0041647D"/>
    <w:rsid w:val="00416A33"/>
    <w:rsid w:val="00416A44"/>
    <w:rsid w:val="00416A90"/>
    <w:rsid w:val="00416EE8"/>
    <w:rsid w:val="00417114"/>
    <w:rsid w:val="004173F7"/>
    <w:rsid w:val="0041754E"/>
    <w:rsid w:val="00417625"/>
    <w:rsid w:val="0041762F"/>
    <w:rsid w:val="004179DF"/>
    <w:rsid w:val="00417A99"/>
    <w:rsid w:val="00420506"/>
    <w:rsid w:val="0042056A"/>
    <w:rsid w:val="00420702"/>
    <w:rsid w:val="0042078F"/>
    <w:rsid w:val="00420863"/>
    <w:rsid w:val="0042110B"/>
    <w:rsid w:val="00421761"/>
    <w:rsid w:val="00421826"/>
    <w:rsid w:val="0042183C"/>
    <w:rsid w:val="00421879"/>
    <w:rsid w:val="00421CEB"/>
    <w:rsid w:val="00421E71"/>
    <w:rsid w:val="00421F73"/>
    <w:rsid w:val="004221EC"/>
    <w:rsid w:val="00422361"/>
    <w:rsid w:val="00422777"/>
    <w:rsid w:val="00422BCC"/>
    <w:rsid w:val="00422C54"/>
    <w:rsid w:val="00422D93"/>
    <w:rsid w:val="00422DD7"/>
    <w:rsid w:val="00422E03"/>
    <w:rsid w:val="00422E0A"/>
    <w:rsid w:val="0042305C"/>
    <w:rsid w:val="0042320D"/>
    <w:rsid w:val="0042335E"/>
    <w:rsid w:val="0042346E"/>
    <w:rsid w:val="00423FE3"/>
    <w:rsid w:val="0042408F"/>
    <w:rsid w:val="0042427E"/>
    <w:rsid w:val="0042453D"/>
    <w:rsid w:val="00424A70"/>
    <w:rsid w:val="00424A83"/>
    <w:rsid w:val="00424CB3"/>
    <w:rsid w:val="00425203"/>
    <w:rsid w:val="0042538A"/>
    <w:rsid w:val="004255E7"/>
    <w:rsid w:val="0042582A"/>
    <w:rsid w:val="00425B32"/>
    <w:rsid w:val="00426755"/>
    <w:rsid w:val="00426EF4"/>
    <w:rsid w:val="0042751E"/>
    <w:rsid w:val="0042786E"/>
    <w:rsid w:val="0043004F"/>
    <w:rsid w:val="00430098"/>
    <w:rsid w:val="00430512"/>
    <w:rsid w:val="0043063A"/>
    <w:rsid w:val="00430985"/>
    <w:rsid w:val="00430A07"/>
    <w:rsid w:val="00430DE5"/>
    <w:rsid w:val="00430EA6"/>
    <w:rsid w:val="00431434"/>
    <w:rsid w:val="004317D6"/>
    <w:rsid w:val="00431DD6"/>
    <w:rsid w:val="004323E2"/>
    <w:rsid w:val="00432556"/>
    <w:rsid w:val="0043255D"/>
    <w:rsid w:val="00432580"/>
    <w:rsid w:val="004325C8"/>
    <w:rsid w:val="004325E2"/>
    <w:rsid w:val="004327E4"/>
    <w:rsid w:val="0043285A"/>
    <w:rsid w:val="00432C62"/>
    <w:rsid w:val="00432E9D"/>
    <w:rsid w:val="00433592"/>
    <w:rsid w:val="004336FF"/>
    <w:rsid w:val="00433B2D"/>
    <w:rsid w:val="00433D53"/>
    <w:rsid w:val="00433DAF"/>
    <w:rsid w:val="00433E77"/>
    <w:rsid w:val="004342A0"/>
    <w:rsid w:val="00434516"/>
    <w:rsid w:val="0043459B"/>
    <w:rsid w:val="00434795"/>
    <w:rsid w:val="00434929"/>
    <w:rsid w:val="00434A18"/>
    <w:rsid w:val="00434C4F"/>
    <w:rsid w:val="004350C8"/>
    <w:rsid w:val="00435452"/>
    <w:rsid w:val="00435632"/>
    <w:rsid w:val="00435993"/>
    <w:rsid w:val="00435996"/>
    <w:rsid w:val="00435DED"/>
    <w:rsid w:val="00435E5E"/>
    <w:rsid w:val="00435F15"/>
    <w:rsid w:val="00436067"/>
    <w:rsid w:val="00436263"/>
    <w:rsid w:val="00436700"/>
    <w:rsid w:val="00437606"/>
    <w:rsid w:val="00437DDE"/>
    <w:rsid w:val="00437F44"/>
    <w:rsid w:val="00440052"/>
    <w:rsid w:val="004401A4"/>
    <w:rsid w:val="004405E1"/>
    <w:rsid w:val="004406C1"/>
    <w:rsid w:val="0044086E"/>
    <w:rsid w:val="00440C63"/>
    <w:rsid w:val="00440C6D"/>
    <w:rsid w:val="00440F34"/>
    <w:rsid w:val="0044107A"/>
    <w:rsid w:val="0044125C"/>
    <w:rsid w:val="00441636"/>
    <w:rsid w:val="00441C17"/>
    <w:rsid w:val="00441F42"/>
    <w:rsid w:val="004421D0"/>
    <w:rsid w:val="00442715"/>
    <w:rsid w:val="00442EAE"/>
    <w:rsid w:val="0044397D"/>
    <w:rsid w:val="00443A6F"/>
    <w:rsid w:val="00443FB8"/>
    <w:rsid w:val="00443FD4"/>
    <w:rsid w:val="00443FDE"/>
    <w:rsid w:val="004445A4"/>
    <w:rsid w:val="00445138"/>
    <w:rsid w:val="00445605"/>
    <w:rsid w:val="004456FD"/>
    <w:rsid w:val="00445742"/>
    <w:rsid w:val="00445800"/>
    <w:rsid w:val="0044597B"/>
    <w:rsid w:val="0044602B"/>
    <w:rsid w:val="0044606C"/>
    <w:rsid w:val="00446114"/>
    <w:rsid w:val="004464CE"/>
    <w:rsid w:val="00446644"/>
    <w:rsid w:val="00446717"/>
    <w:rsid w:val="0044682B"/>
    <w:rsid w:val="0044694A"/>
    <w:rsid w:val="004470AF"/>
    <w:rsid w:val="0044771B"/>
    <w:rsid w:val="00450156"/>
    <w:rsid w:val="00450366"/>
    <w:rsid w:val="004504B5"/>
    <w:rsid w:val="004504E9"/>
    <w:rsid w:val="00450852"/>
    <w:rsid w:val="00450984"/>
    <w:rsid w:val="00450A3E"/>
    <w:rsid w:val="00450C30"/>
    <w:rsid w:val="00450DBF"/>
    <w:rsid w:val="00451C0D"/>
    <w:rsid w:val="00451F3F"/>
    <w:rsid w:val="0045201D"/>
    <w:rsid w:val="00452094"/>
    <w:rsid w:val="00453B6F"/>
    <w:rsid w:val="00453CBA"/>
    <w:rsid w:val="00453D4E"/>
    <w:rsid w:val="00454230"/>
    <w:rsid w:val="0045451C"/>
    <w:rsid w:val="00454DF4"/>
    <w:rsid w:val="00454EB3"/>
    <w:rsid w:val="00454FAD"/>
    <w:rsid w:val="00454FE3"/>
    <w:rsid w:val="00455884"/>
    <w:rsid w:val="00455FE7"/>
    <w:rsid w:val="00456226"/>
    <w:rsid w:val="004567EE"/>
    <w:rsid w:val="00456AB6"/>
    <w:rsid w:val="00456ADA"/>
    <w:rsid w:val="004573C8"/>
    <w:rsid w:val="00457444"/>
    <w:rsid w:val="00457C23"/>
    <w:rsid w:val="00457EE2"/>
    <w:rsid w:val="0046022C"/>
    <w:rsid w:val="00460C57"/>
    <w:rsid w:val="00460DCF"/>
    <w:rsid w:val="00460DEA"/>
    <w:rsid w:val="00460F19"/>
    <w:rsid w:val="004610EA"/>
    <w:rsid w:val="00461BEC"/>
    <w:rsid w:val="00461E85"/>
    <w:rsid w:val="00462458"/>
    <w:rsid w:val="00462ADE"/>
    <w:rsid w:val="00462CC3"/>
    <w:rsid w:val="00462F48"/>
    <w:rsid w:val="0046324E"/>
    <w:rsid w:val="004633F0"/>
    <w:rsid w:val="0046363B"/>
    <w:rsid w:val="004636BA"/>
    <w:rsid w:val="00463826"/>
    <w:rsid w:val="00463ABC"/>
    <w:rsid w:val="00463B2B"/>
    <w:rsid w:val="00463DD0"/>
    <w:rsid w:val="00464A7D"/>
    <w:rsid w:val="00464DE0"/>
    <w:rsid w:val="00465063"/>
    <w:rsid w:val="00465074"/>
    <w:rsid w:val="00465144"/>
    <w:rsid w:val="004653A9"/>
    <w:rsid w:val="004653B9"/>
    <w:rsid w:val="00465950"/>
    <w:rsid w:val="00465A70"/>
    <w:rsid w:val="00465ACF"/>
    <w:rsid w:val="00465B7B"/>
    <w:rsid w:val="00465D97"/>
    <w:rsid w:val="00465E11"/>
    <w:rsid w:val="00465F0B"/>
    <w:rsid w:val="00466387"/>
    <w:rsid w:val="00466A61"/>
    <w:rsid w:val="00466B43"/>
    <w:rsid w:val="00466DA4"/>
    <w:rsid w:val="0046706F"/>
    <w:rsid w:val="004672D9"/>
    <w:rsid w:val="004673C9"/>
    <w:rsid w:val="0046744C"/>
    <w:rsid w:val="00467724"/>
    <w:rsid w:val="00467C37"/>
    <w:rsid w:val="00467C6B"/>
    <w:rsid w:val="00467FB5"/>
    <w:rsid w:val="00470342"/>
    <w:rsid w:val="00470940"/>
    <w:rsid w:val="00470D35"/>
    <w:rsid w:val="00470DB1"/>
    <w:rsid w:val="00470E52"/>
    <w:rsid w:val="0047144A"/>
    <w:rsid w:val="004714EB"/>
    <w:rsid w:val="0047170A"/>
    <w:rsid w:val="004717C4"/>
    <w:rsid w:val="00471B2D"/>
    <w:rsid w:val="00471E16"/>
    <w:rsid w:val="0047222C"/>
    <w:rsid w:val="004722D3"/>
    <w:rsid w:val="004729B1"/>
    <w:rsid w:val="004729EB"/>
    <w:rsid w:val="004730AA"/>
    <w:rsid w:val="00473B98"/>
    <w:rsid w:val="00473EF8"/>
    <w:rsid w:val="0047402B"/>
    <w:rsid w:val="004742D0"/>
    <w:rsid w:val="00474729"/>
    <w:rsid w:val="00474A30"/>
    <w:rsid w:val="00474DE6"/>
    <w:rsid w:val="00475F67"/>
    <w:rsid w:val="00476B44"/>
    <w:rsid w:val="00476BA0"/>
    <w:rsid w:val="00476EBF"/>
    <w:rsid w:val="00476F95"/>
    <w:rsid w:val="00477349"/>
    <w:rsid w:val="00477474"/>
    <w:rsid w:val="004779D8"/>
    <w:rsid w:val="00477AFF"/>
    <w:rsid w:val="00477C5E"/>
    <w:rsid w:val="00477FF2"/>
    <w:rsid w:val="00477FF8"/>
    <w:rsid w:val="00480032"/>
    <w:rsid w:val="0048017A"/>
    <w:rsid w:val="004803BB"/>
    <w:rsid w:val="0048062D"/>
    <w:rsid w:val="00480E51"/>
    <w:rsid w:val="00482025"/>
    <w:rsid w:val="00482125"/>
    <w:rsid w:val="004824A7"/>
    <w:rsid w:val="004824C4"/>
    <w:rsid w:val="0048250C"/>
    <w:rsid w:val="00482593"/>
    <w:rsid w:val="004826D9"/>
    <w:rsid w:val="00482832"/>
    <w:rsid w:val="004828F1"/>
    <w:rsid w:val="00482B06"/>
    <w:rsid w:val="00482B81"/>
    <w:rsid w:val="00483095"/>
    <w:rsid w:val="004834E4"/>
    <w:rsid w:val="004837F1"/>
    <w:rsid w:val="0048385F"/>
    <w:rsid w:val="00483CF6"/>
    <w:rsid w:val="004841D6"/>
    <w:rsid w:val="0048421C"/>
    <w:rsid w:val="00484596"/>
    <w:rsid w:val="004846BA"/>
    <w:rsid w:val="0048493E"/>
    <w:rsid w:val="00484FF9"/>
    <w:rsid w:val="004852B8"/>
    <w:rsid w:val="004852CF"/>
    <w:rsid w:val="0048538E"/>
    <w:rsid w:val="00485A31"/>
    <w:rsid w:val="00485D7D"/>
    <w:rsid w:val="00486067"/>
    <w:rsid w:val="004862C2"/>
    <w:rsid w:val="004862F2"/>
    <w:rsid w:val="004864F3"/>
    <w:rsid w:val="004867EC"/>
    <w:rsid w:val="00486E77"/>
    <w:rsid w:val="004870B5"/>
    <w:rsid w:val="004874DD"/>
    <w:rsid w:val="004874E9"/>
    <w:rsid w:val="00487784"/>
    <w:rsid w:val="004877B9"/>
    <w:rsid w:val="00487896"/>
    <w:rsid w:val="00487CA1"/>
    <w:rsid w:val="00487F58"/>
    <w:rsid w:val="004901BD"/>
    <w:rsid w:val="004907E1"/>
    <w:rsid w:val="00490C76"/>
    <w:rsid w:val="00490D5B"/>
    <w:rsid w:val="00490E9A"/>
    <w:rsid w:val="004911B9"/>
    <w:rsid w:val="0049139C"/>
    <w:rsid w:val="00491A6E"/>
    <w:rsid w:val="00491ECB"/>
    <w:rsid w:val="00491EDD"/>
    <w:rsid w:val="00492325"/>
    <w:rsid w:val="00492425"/>
    <w:rsid w:val="0049263D"/>
    <w:rsid w:val="004928E2"/>
    <w:rsid w:val="004931C8"/>
    <w:rsid w:val="00493C48"/>
    <w:rsid w:val="00493EB1"/>
    <w:rsid w:val="00493EC5"/>
    <w:rsid w:val="0049437F"/>
    <w:rsid w:val="004943A4"/>
    <w:rsid w:val="00494B3C"/>
    <w:rsid w:val="00494F12"/>
    <w:rsid w:val="004950F8"/>
    <w:rsid w:val="004955E5"/>
    <w:rsid w:val="00495637"/>
    <w:rsid w:val="00495991"/>
    <w:rsid w:val="00495E6C"/>
    <w:rsid w:val="00496C8A"/>
    <w:rsid w:val="00496D08"/>
    <w:rsid w:val="00496D59"/>
    <w:rsid w:val="00496F76"/>
    <w:rsid w:val="004973A1"/>
    <w:rsid w:val="004976A7"/>
    <w:rsid w:val="00497B5F"/>
    <w:rsid w:val="00497C07"/>
    <w:rsid w:val="004A029A"/>
    <w:rsid w:val="004A031A"/>
    <w:rsid w:val="004A038E"/>
    <w:rsid w:val="004A043A"/>
    <w:rsid w:val="004A0623"/>
    <w:rsid w:val="004A0BA5"/>
    <w:rsid w:val="004A0EB6"/>
    <w:rsid w:val="004A0EEA"/>
    <w:rsid w:val="004A1223"/>
    <w:rsid w:val="004A1505"/>
    <w:rsid w:val="004A15CE"/>
    <w:rsid w:val="004A1808"/>
    <w:rsid w:val="004A187C"/>
    <w:rsid w:val="004A1965"/>
    <w:rsid w:val="004A1A7C"/>
    <w:rsid w:val="004A1C10"/>
    <w:rsid w:val="004A1CA7"/>
    <w:rsid w:val="004A204A"/>
    <w:rsid w:val="004A24AE"/>
    <w:rsid w:val="004A24C4"/>
    <w:rsid w:val="004A2821"/>
    <w:rsid w:val="004A2837"/>
    <w:rsid w:val="004A2846"/>
    <w:rsid w:val="004A2E64"/>
    <w:rsid w:val="004A3151"/>
    <w:rsid w:val="004A3245"/>
    <w:rsid w:val="004A4102"/>
    <w:rsid w:val="004A454B"/>
    <w:rsid w:val="004A4E16"/>
    <w:rsid w:val="004A5345"/>
    <w:rsid w:val="004A539B"/>
    <w:rsid w:val="004A543E"/>
    <w:rsid w:val="004A56B1"/>
    <w:rsid w:val="004A5951"/>
    <w:rsid w:val="004A6720"/>
    <w:rsid w:val="004A6900"/>
    <w:rsid w:val="004A74B6"/>
    <w:rsid w:val="004A7B1E"/>
    <w:rsid w:val="004A7C67"/>
    <w:rsid w:val="004B01DE"/>
    <w:rsid w:val="004B0836"/>
    <w:rsid w:val="004B088E"/>
    <w:rsid w:val="004B0A37"/>
    <w:rsid w:val="004B0C21"/>
    <w:rsid w:val="004B0C67"/>
    <w:rsid w:val="004B1829"/>
    <w:rsid w:val="004B1CA9"/>
    <w:rsid w:val="004B1F23"/>
    <w:rsid w:val="004B23C3"/>
    <w:rsid w:val="004B325B"/>
    <w:rsid w:val="004B3628"/>
    <w:rsid w:val="004B3646"/>
    <w:rsid w:val="004B36F6"/>
    <w:rsid w:val="004B3753"/>
    <w:rsid w:val="004B37F8"/>
    <w:rsid w:val="004B3CCE"/>
    <w:rsid w:val="004B3CED"/>
    <w:rsid w:val="004B4139"/>
    <w:rsid w:val="004B4356"/>
    <w:rsid w:val="004B449F"/>
    <w:rsid w:val="004B4B34"/>
    <w:rsid w:val="004B4D88"/>
    <w:rsid w:val="004B4F87"/>
    <w:rsid w:val="004B5462"/>
    <w:rsid w:val="004B55C6"/>
    <w:rsid w:val="004B57D5"/>
    <w:rsid w:val="004B5FE2"/>
    <w:rsid w:val="004B6008"/>
    <w:rsid w:val="004B6441"/>
    <w:rsid w:val="004B64D8"/>
    <w:rsid w:val="004B67FF"/>
    <w:rsid w:val="004B6CC8"/>
    <w:rsid w:val="004B7109"/>
    <w:rsid w:val="004B7675"/>
    <w:rsid w:val="004B7689"/>
    <w:rsid w:val="004C0000"/>
    <w:rsid w:val="004C044D"/>
    <w:rsid w:val="004C0582"/>
    <w:rsid w:val="004C071C"/>
    <w:rsid w:val="004C08F5"/>
    <w:rsid w:val="004C0D02"/>
    <w:rsid w:val="004C1297"/>
    <w:rsid w:val="004C12AF"/>
    <w:rsid w:val="004C149D"/>
    <w:rsid w:val="004C1619"/>
    <w:rsid w:val="004C1888"/>
    <w:rsid w:val="004C1A8E"/>
    <w:rsid w:val="004C1D78"/>
    <w:rsid w:val="004C226E"/>
    <w:rsid w:val="004C25D3"/>
    <w:rsid w:val="004C27F8"/>
    <w:rsid w:val="004C2A4F"/>
    <w:rsid w:val="004C2C08"/>
    <w:rsid w:val="004C2DF2"/>
    <w:rsid w:val="004C2FC5"/>
    <w:rsid w:val="004C321F"/>
    <w:rsid w:val="004C325A"/>
    <w:rsid w:val="004C352A"/>
    <w:rsid w:val="004C3617"/>
    <w:rsid w:val="004C3FB5"/>
    <w:rsid w:val="004C437D"/>
    <w:rsid w:val="004C4476"/>
    <w:rsid w:val="004C4708"/>
    <w:rsid w:val="004C4BE6"/>
    <w:rsid w:val="004C521C"/>
    <w:rsid w:val="004C5505"/>
    <w:rsid w:val="004C5B2A"/>
    <w:rsid w:val="004C5BF6"/>
    <w:rsid w:val="004C5C3C"/>
    <w:rsid w:val="004C5D7E"/>
    <w:rsid w:val="004C5DDC"/>
    <w:rsid w:val="004C5F14"/>
    <w:rsid w:val="004C6A32"/>
    <w:rsid w:val="004C6B3E"/>
    <w:rsid w:val="004C6BD3"/>
    <w:rsid w:val="004C712A"/>
    <w:rsid w:val="004C7130"/>
    <w:rsid w:val="004C715C"/>
    <w:rsid w:val="004C7162"/>
    <w:rsid w:val="004C72C7"/>
    <w:rsid w:val="004C72D1"/>
    <w:rsid w:val="004C73D6"/>
    <w:rsid w:val="004C73ED"/>
    <w:rsid w:val="004C784E"/>
    <w:rsid w:val="004C7862"/>
    <w:rsid w:val="004C7A22"/>
    <w:rsid w:val="004C7B39"/>
    <w:rsid w:val="004C7BB9"/>
    <w:rsid w:val="004C7D2E"/>
    <w:rsid w:val="004D0378"/>
    <w:rsid w:val="004D043A"/>
    <w:rsid w:val="004D07EB"/>
    <w:rsid w:val="004D1277"/>
    <w:rsid w:val="004D1286"/>
    <w:rsid w:val="004D1352"/>
    <w:rsid w:val="004D174D"/>
    <w:rsid w:val="004D1955"/>
    <w:rsid w:val="004D1990"/>
    <w:rsid w:val="004D229E"/>
    <w:rsid w:val="004D230C"/>
    <w:rsid w:val="004D25F5"/>
    <w:rsid w:val="004D2677"/>
    <w:rsid w:val="004D338B"/>
    <w:rsid w:val="004D33FF"/>
    <w:rsid w:val="004D3738"/>
    <w:rsid w:val="004D38C3"/>
    <w:rsid w:val="004D3A14"/>
    <w:rsid w:val="004D3A5D"/>
    <w:rsid w:val="004D40A3"/>
    <w:rsid w:val="004D41E7"/>
    <w:rsid w:val="004D44B6"/>
    <w:rsid w:val="004D44F3"/>
    <w:rsid w:val="004D4691"/>
    <w:rsid w:val="004D48DE"/>
    <w:rsid w:val="004D4A9E"/>
    <w:rsid w:val="004D4BFB"/>
    <w:rsid w:val="004D4ECC"/>
    <w:rsid w:val="004D4F0D"/>
    <w:rsid w:val="004D5664"/>
    <w:rsid w:val="004D5F99"/>
    <w:rsid w:val="004D6124"/>
    <w:rsid w:val="004D6385"/>
    <w:rsid w:val="004D67CB"/>
    <w:rsid w:val="004D6ADF"/>
    <w:rsid w:val="004D6BC8"/>
    <w:rsid w:val="004D71A9"/>
    <w:rsid w:val="004D74A5"/>
    <w:rsid w:val="004D76E1"/>
    <w:rsid w:val="004D7F52"/>
    <w:rsid w:val="004D7F9F"/>
    <w:rsid w:val="004D7FA8"/>
    <w:rsid w:val="004E0842"/>
    <w:rsid w:val="004E0A29"/>
    <w:rsid w:val="004E0A99"/>
    <w:rsid w:val="004E1275"/>
    <w:rsid w:val="004E15FB"/>
    <w:rsid w:val="004E1A68"/>
    <w:rsid w:val="004E1C6F"/>
    <w:rsid w:val="004E1D25"/>
    <w:rsid w:val="004E1D44"/>
    <w:rsid w:val="004E23E8"/>
    <w:rsid w:val="004E257B"/>
    <w:rsid w:val="004E2756"/>
    <w:rsid w:val="004E2C5A"/>
    <w:rsid w:val="004E2F05"/>
    <w:rsid w:val="004E302F"/>
    <w:rsid w:val="004E327B"/>
    <w:rsid w:val="004E373A"/>
    <w:rsid w:val="004E37C7"/>
    <w:rsid w:val="004E38EA"/>
    <w:rsid w:val="004E3E9E"/>
    <w:rsid w:val="004E4299"/>
    <w:rsid w:val="004E43EC"/>
    <w:rsid w:val="004E4779"/>
    <w:rsid w:val="004E489A"/>
    <w:rsid w:val="004E49C5"/>
    <w:rsid w:val="004E4BE1"/>
    <w:rsid w:val="004E4BF9"/>
    <w:rsid w:val="004E4CC0"/>
    <w:rsid w:val="004E5566"/>
    <w:rsid w:val="004E5AFE"/>
    <w:rsid w:val="004E5CB3"/>
    <w:rsid w:val="004E5D54"/>
    <w:rsid w:val="004E5F15"/>
    <w:rsid w:val="004E5FA6"/>
    <w:rsid w:val="004E6729"/>
    <w:rsid w:val="004E6B21"/>
    <w:rsid w:val="004E6E41"/>
    <w:rsid w:val="004E7064"/>
    <w:rsid w:val="004E78C8"/>
    <w:rsid w:val="004E7B91"/>
    <w:rsid w:val="004F0EDA"/>
    <w:rsid w:val="004F11BD"/>
    <w:rsid w:val="004F11C3"/>
    <w:rsid w:val="004F14D5"/>
    <w:rsid w:val="004F1649"/>
    <w:rsid w:val="004F1EFD"/>
    <w:rsid w:val="004F213B"/>
    <w:rsid w:val="004F24B4"/>
    <w:rsid w:val="004F26FA"/>
    <w:rsid w:val="004F2825"/>
    <w:rsid w:val="004F2C38"/>
    <w:rsid w:val="004F37F0"/>
    <w:rsid w:val="004F3AD9"/>
    <w:rsid w:val="004F3ECF"/>
    <w:rsid w:val="004F40FA"/>
    <w:rsid w:val="004F419D"/>
    <w:rsid w:val="004F4207"/>
    <w:rsid w:val="004F4607"/>
    <w:rsid w:val="004F4823"/>
    <w:rsid w:val="004F4B02"/>
    <w:rsid w:val="004F4EF2"/>
    <w:rsid w:val="004F5D10"/>
    <w:rsid w:val="004F5F28"/>
    <w:rsid w:val="004F6043"/>
    <w:rsid w:val="004F61B6"/>
    <w:rsid w:val="004F66AD"/>
    <w:rsid w:val="004F6711"/>
    <w:rsid w:val="004F692F"/>
    <w:rsid w:val="004F6E35"/>
    <w:rsid w:val="004F6F63"/>
    <w:rsid w:val="004F74BE"/>
    <w:rsid w:val="004F74E3"/>
    <w:rsid w:val="004F74FC"/>
    <w:rsid w:val="004F78F2"/>
    <w:rsid w:val="004F7B09"/>
    <w:rsid w:val="004F7B85"/>
    <w:rsid w:val="004F7E2D"/>
    <w:rsid w:val="004F7F73"/>
    <w:rsid w:val="005003DF"/>
    <w:rsid w:val="00500488"/>
    <w:rsid w:val="00500EBC"/>
    <w:rsid w:val="005011E9"/>
    <w:rsid w:val="00501D13"/>
    <w:rsid w:val="00502542"/>
    <w:rsid w:val="005028F0"/>
    <w:rsid w:val="005030E4"/>
    <w:rsid w:val="005048BE"/>
    <w:rsid w:val="00504C95"/>
    <w:rsid w:val="00504F08"/>
    <w:rsid w:val="00505386"/>
    <w:rsid w:val="00505A3C"/>
    <w:rsid w:val="00505B8A"/>
    <w:rsid w:val="005061BC"/>
    <w:rsid w:val="00506222"/>
    <w:rsid w:val="00506304"/>
    <w:rsid w:val="00506386"/>
    <w:rsid w:val="00506422"/>
    <w:rsid w:val="005068E4"/>
    <w:rsid w:val="00506944"/>
    <w:rsid w:val="005069B1"/>
    <w:rsid w:val="00506CAE"/>
    <w:rsid w:val="00506E83"/>
    <w:rsid w:val="00507AE7"/>
    <w:rsid w:val="00507B00"/>
    <w:rsid w:val="00507B9C"/>
    <w:rsid w:val="00507C6B"/>
    <w:rsid w:val="00507D21"/>
    <w:rsid w:val="005103C2"/>
    <w:rsid w:val="00510D7E"/>
    <w:rsid w:val="00510DCD"/>
    <w:rsid w:val="00511476"/>
    <w:rsid w:val="00511973"/>
    <w:rsid w:val="00511C2E"/>
    <w:rsid w:val="005124C0"/>
    <w:rsid w:val="005124F4"/>
    <w:rsid w:val="0051265A"/>
    <w:rsid w:val="00512ABF"/>
    <w:rsid w:val="00512B9F"/>
    <w:rsid w:val="00513169"/>
    <w:rsid w:val="00513B3A"/>
    <w:rsid w:val="00513DAE"/>
    <w:rsid w:val="005146DA"/>
    <w:rsid w:val="005151D3"/>
    <w:rsid w:val="00515AB2"/>
    <w:rsid w:val="00515D82"/>
    <w:rsid w:val="00515E37"/>
    <w:rsid w:val="00515FF1"/>
    <w:rsid w:val="0051612C"/>
    <w:rsid w:val="005167E8"/>
    <w:rsid w:val="00516B26"/>
    <w:rsid w:val="00516CC1"/>
    <w:rsid w:val="00517803"/>
    <w:rsid w:val="005179EC"/>
    <w:rsid w:val="00517A6F"/>
    <w:rsid w:val="00517AAA"/>
    <w:rsid w:val="00517AE9"/>
    <w:rsid w:val="00517E69"/>
    <w:rsid w:val="00520A7E"/>
    <w:rsid w:val="00520E56"/>
    <w:rsid w:val="00520E7A"/>
    <w:rsid w:val="00520FEC"/>
    <w:rsid w:val="005210FE"/>
    <w:rsid w:val="00521335"/>
    <w:rsid w:val="005217AE"/>
    <w:rsid w:val="00521A11"/>
    <w:rsid w:val="00521B57"/>
    <w:rsid w:val="00521E44"/>
    <w:rsid w:val="00521F5F"/>
    <w:rsid w:val="0052211A"/>
    <w:rsid w:val="005222EA"/>
    <w:rsid w:val="005223F6"/>
    <w:rsid w:val="0052356C"/>
    <w:rsid w:val="00523601"/>
    <w:rsid w:val="00523667"/>
    <w:rsid w:val="0052367A"/>
    <w:rsid w:val="00523971"/>
    <w:rsid w:val="00523979"/>
    <w:rsid w:val="00523F8A"/>
    <w:rsid w:val="0052406A"/>
    <w:rsid w:val="00524218"/>
    <w:rsid w:val="005242B4"/>
    <w:rsid w:val="005244F7"/>
    <w:rsid w:val="005246D7"/>
    <w:rsid w:val="00524A43"/>
    <w:rsid w:val="00524D75"/>
    <w:rsid w:val="00524F17"/>
    <w:rsid w:val="005250C1"/>
    <w:rsid w:val="00525A52"/>
    <w:rsid w:val="00525E31"/>
    <w:rsid w:val="00525E5E"/>
    <w:rsid w:val="00526573"/>
    <w:rsid w:val="00526D84"/>
    <w:rsid w:val="00526F96"/>
    <w:rsid w:val="0052707B"/>
    <w:rsid w:val="00527219"/>
    <w:rsid w:val="00527277"/>
    <w:rsid w:val="0052760A"/>
    <w:rsid w:val="0052782A"/>
    <w:rsid w:val="00527F95"/>
    <w:rsid w:val="00530188"/>
    <w:rsid w:val="005302B6"/>
    <w:rsid w:val="005308FD"/>
    <w:rsid w:val="00531295"/>
    <w:rsid w:val="005314C5"/>
    <w:rsid w:val="005318BE"/>
    <w:rsid w:val="00531B5A"/>
    <w:rsid w:val="005324CE"/>
    <w:rsid w:val="005327B6"/>
    <w:rsid w:val="00532855"/>
    <w:rsid w:val="00532FC9"/>
    <w:rsid w:val="005331CE"/>
    <w:rsid w:val="005333BE"/>
    <w:rsid w:val="0053346F"/>
    <w:rsid w:val="005334D0"/>
    <w:rsid w:val="005336C9"/>
    <w:rsid w:val="005337CF"/>
    <w:rsid w:val="00533877"/>
    <w:rsid w:val="00534C5F"/>
    <w:rsid w:val="00535095"/>
    <w:rsid w:val="0053509D"/>
    <w:rsid w:val="0053589D"/>
    <w:rsid w:val="00535E13"/>
    <w:rsid w:val="00536162"/>
    <w:rsid w:val="0053650A"/>
    <w:rsid w:val="00536833"/>
    <w:rsid w:val="00536D3E"/>
    <w:rsid w:val="00536ED8"/>
    <w:rsid w:val="00536FE1"/>
    <w:rsid w:val="00537D53"/>
    <w:rsid w:val="00537F2E"/>
    <w:rsid w:val="0054008E"/>
    <w:rsid w:val="00540581"/>
    <w:rsid w:val="00540742"/>
    <w:rsid w:val="005408DE"/>
    <w:rsid w:val="00540AD9"/>
    <w:rsid w:val="00540B82"/>
    <w:rsid w:val="00540E18"/>
    <w:rsid w:val="005410FF"/>
    <w:rsid w:val="00542112"/>
    <w:rsid w:val="005424F6"/>
    <w:rsid w:val="0054257E"/>
    <w:rsid w:val="005429F0"/>
    <w:rsid w:val="00542FA9"/>
    <w:rsid w:val="00543144"/>
    <w:rsid w:val="0054320A"/>
    <w:rsid w:val="00543B8C"/>
    <w:rsid w:val="00544264"/>
    <w:rsid w:val="00544791"/>
    <w:rsid w:val="005447DA"/>
    <w:rsid w:val="00544C59"/>
    <w:rsid w:val="00544D26"/>
    <w:rsid w:val="00544F7A"/>
    <w:rsid w:val="0054528F"/>
    <w:rsid w:val="005453F6"/>
    <w:rsid w:val="00545421"/>
    <w:rsid w:val="005458C8"/>
    <w:rsid w:val="00545D8E"/>
    <w:rsid w:val="00546510"/>
    <w:rsid w:val="0054660D"/>
    <w:rsid w:val="005468B7"/>
    <w:rsid w:val="00546B00"/>
    <w:rsid w:val="00546BC4"/>
    <w:rsid w:val="00547191"/>
    <w:rsid w:val="005471F8"/>
    <w:rsid w:val="0054733E"/>
    <w:rsid w:val="00547731"/>
    <w:rsid w:val="005478CC"/>
    <w:rsid w:val="00547AAB"/>
    <w:rsid w:val="00547B0A"/>
    <w:rsid w:val="00550762"/>
    <w:rsid w:val="00550C0E"/>
    <w:rsid w:val="0055101E"/>
    <w:rsid w:val="00551747"/>
    <w:rsid w:val="0055176A"/>
    <w:rsid w:val="00551AE1"/>
    <w:rsid w:val="00551CD9"/>
    <w:rsid w:val="00551ED2"/>
    <w:rsid w:val="00551FCA"/>
    <w:rsid w:val="00552C6C"/>
    <w:rsid w:val="005536FE"/>
    <w:rsid w:val="00553816"/>
    <w:rsid w:val="00553AE1"/>
    <w:rsid w:val="00553BBD"/>
    <w:rsid w:val="005540AB"/>
    <w:rsid w:val="005541F1"/>
    <w:rsid w:val="00554B68"/>
    <w:rsid w:val="00554C5E"/>
    <w:rsid w:val="00554F48"/>
    <w:rsid w:val="0055503E"/>
    <w:rsid w:val="0055522B"/>
    <w:rsid w:val="00555AEF"/>
    <w:rsid w:val="00555DA4"/>
    <w:rsid w:val="00555DCA"/>
    <w:rsid w:val="00555EBE"/>
    <w:rsid w:val="005560FA"/>
    <w:rsid w:val="005561C7"/>
    <w:rsid w:val="0055637B"/>
    <w:rsid w:val="00556750"/>
    <w:rsid w:val="00556F00"/>
    <w:rsid w:val="00557396"/>
    <w:rsid w:val="00557421"/>
    <w:rsid w:val="005576F7"/>
    <w:rsid w:val="00557798"/>
    <w:rsid w:val="005577D4"/>
    <w:rsid w:val="00557B80"/>
    <w:rsid w:val="00557DB3"/>
    <w:rsid w:val="00560478"/>
    <w:rsid w:val="00560757"/>
    <w:rsid w:val="005608FE"/>
    <w:rsid w:val="00560A3B"/>
    <w:rsid w:val="00560E4B"/>
    <w:rsid w:val="00560F91"/>
    <w:rsid w:val="0056185E"/>
    <w:rsid w:val="00561F0D"/>
    <w:rsid w:val="00562BC7"/>
    <w:rsid w:val="00563203"/>
    <w:rsid w:val="005635CD"/>
    <w:rsid w:val="005637B8"/>
    <w:rsid w:val="00563AD5"/>
    <w:rsid w:val="00563BB8"/>
    <w:rsid w:val="00564083"/>
    <w:rsid w:val="00564095"/>
    <w:rsid w:val="005640DC"/>
    <w:rsid w:val="0056450D"/>
    <w:rsid w:val="00564818"/>
    <w:rsid w:val="00564BF2"/>
    <w:rsid w:val="00564CCF"/>
    <w:rsid w:val="0056513B"/>
    <w:rsid w:val="005653EF"/>
    <w:rsid w:val="0056569E"/>
    <w:rsid w:val="00565866"/>
    <w:rsid w:val="00565DE4"/>
    <w:rsid w:val="00566058"/>
    <w:rsid w:val="0056670D"/>
    <w:rsid w:val="00566C7F"/>
    <w:rsid w:val="00566CD3"/>
    <w:rsid w:val="00567C4D"/>
    <w:rsid w:val="00567EF7"/>
    <w:rsid w:val="005700B8"/>
    <w:rsid w:val="00570341"/>
    <w:rsid w:val="00570586"/>
    <w:rsid w:val="00571613"/>
    <w:rsid w:val="005719CC"/>
    <w:rsid w:val="00571A0A"/>
    <w:rsid w:val="00571F60"/>
    <w:rsid w:val="0057217B"/>
    <w:rsid w:val="005725AA"/>
    <w:rsid w:val="00572669"/>
    <w:rsid w:val="00572F7F"/>
    <w:rsid w:val="00572FC7"/>
    <w:rsid w:val="005733DB"/>
    <w:rsid w:val="00573546"/>
    <w:rsid w:val="0057369B"/>
    <w:rsid w:val="0057387C"/>
    <w:rsid w:val="00573C07"/>
    <w:rsid w:val="0057486A"/>
    <w:rsid w:val="00574C5C"/>
    <w:rsid w:val="005754BC"/>
    <w:rsid w:val="00575ED0"/>
    <w:rsid w:val="005762E7"/>
    <w:rsid w:val="00576A03"/>
    <w:rsid w:val="0058025A"/>
    <w:rsid w:val="0058034C"/>
    <w:rsid w:val="00580A3A"/>
    <w:rsid w:val="00580A65"/>
    <w:rsid w:val="00580B06"/>
    <w:rsid w:val="00580CE5"/>
    <w:rsid w:val="0058123B"/>
    <w:rsid w:val="005815C0"/>
    <w:rsid w:val="00581610"/>
    <w:rsid w:val="005820A9"/>
    <w:rsid w:val="005820FE"/>
    <w:rsid w:val="00582107"/>
    <w:rsid w:val="005827A2"/>
    <w:rsid w:val="00582929"/>
    <w:rsid w:val="005829E3"/>
    <w:rsid w:val="00583248"/>
    <w:rsid w:val="005832A4"/>
    <w:rsid w:val="005833AE"/>
    <w:rsid w:val="0058368D"/>
    <w:rsid w:val="00583984"/>
    <w:rsid w:val="00583B1B"/>
    <w:rsid w:val="00583C6E"/>
    <w:rsid w:val="00583FF2"/>
    <w:rsid w:val="00584181"/>
    <w:rsid w:val="00584497"/>
    <w:rsid w:val="00584664"/>
    <w:rsid w:val="00584B4C"/>
    <w:rsid w:val="00584CE0"/>
    <w:rsid w:val="00585245"/>
    <w:rsid w:val="005852B6"/>
    <w:rsid w:val="00585446"/>
    <w:rsid w:val="00585477"/>
    <w:rsid w:val="005858CA"/>
    <w:rsid w:val="00585B13"/>
    <w:rsid w:val="00585EE9"/>
    <w:rsid w:val="0058600D"/>
    <w:rsid w:val="005862B3"/>
    <w:rsid w:val="0058635A"/>
    <w:rsid w:val="005864A9"/>
    <w:rsid w:val="005864AD"/>
    <w:rsid w:val="005865F7"/>
    <w:rsid w:val="00586601"/>
    <w:rsid w:val="00586B81"/>
    <w:rsid w:val="00586D95"/>
    <w:rsid w:val="005871F5"/>
    <w:rsid w:val="0058736F"/>
    <w:rsid w:val="005873E4"/>
    <w:rsid w:val="00587F2F"/>
    <w:rsid w:val="00587F45"/>
    <w:rsid w:val="00587F6F"/>
    <w:rsid w:val="00587FC0"/>
    <w:rsid w:val="0059039E"/>
    <w:rsid w:val="00591486"/>
    <w:rsid w:val="00591707"/>
    <w:rsid w:val="0059180C"/>
    <w:rsid w:val="005919A6"/>
    <w:rsid w:val="00591B05"/>
    <w:rsid w:val="00591EC0"/>
    <w:rsid w:val="005921A0"/>
    <w:rsid w:val="00592392"/>
    <w:rsid w:val="00592E6F"/>
    <w:rsid w:val="00593085"/>
    <w:rsid w:val="00593572"/>
    <w:rsid w:val="0059365B"/>
    <w:rsid w:val="00593697"/>
    <w:rsid w:val="0059391C"/>
    <w:rsid w:val="00593AF2"/>
    <w:rsid w:val="00593DAB"/>
    <w:rsid w:val="00593F10"/>
    <w:rsid w:val="005942D5"/>
    <w:rsid w:val="0059466A"/>
    <w:rsid w:val="0059467B"/>
    <w:rsid w:val="00594752"/>
    <w:rsid w:val="00594D51"/>
    <w:rsid w:val="00594EAC"/>
    <w:rsid w:val="005951EE"/>
    <w:rsid w:val="00595F68"/>
    <w:rsid w:val="0059610E"/>
    <w:rsid w:val="005961C9"/>
    <w:rsid w:val="0059630F"/>
    <w:rsid w:val="00596390"/>
    <w:rsid w:val="00596430"/>
    <w:rsid w:val="005969B5"/>
    <w:rsid w:val="00597269"/>
    <w:rsid w:val="00597509"/>
    <w:rsid w:val="005977D3"/>
    <w:rsid w:val="00597E5D"/>
    <w:rsid w:val="00597ECD"/>
    <w:rsid w:val="005A00CB"/>
    <w:rsid w:val="005A045E"/>
    <w:rsid w:val="005A05C7"/>
    <w:rsid w:val="005A0618"/>
    <w:rsid w:val="005A085B"/>
    <w:rsid w:val="005A0A5D"/>
    <w:rsid w:val="005A19BF"/>
    <w:rsid w:val="005A1CC0"/>
    <w:rsid w:val="005A2287"/>
    <w:rsid w:val="005A2305"/>
    <w:rsid w:val="005A2608"/>
    <w:rsid w:val="005A29EA"/>
    <w:rsid w:val="005A2BA6"/>
    <w:rsid w:val="005A2DD1"/>
    <w:rsid w:val="005A2F1B"/>
    <w:rsid w:val="005A329D"/>
    <w:rsid w:val="005A39BD"/>
    <w:rsid w:val="005A3A56"/>
    <w:rsid w:val="005A3C41"/>
    <w:rsid w:val="005A3EA0"/>
    <w:rsid w:val="005A45FA"/>
    <w:rsid w:val="005A4FD3"/>
    <w:rsid w:val="005A5284"/>
    <w:rsid w:val="005A52E0"/>
    <w:rsid w:val="005A53E9"/>
    <w:rsid w:val="005A5467"/>
    <w:rsid w:val="005A554D"/>
    <w:rsid w:val="005A58BB"/>
    <w:rsid w:val="005A5A4C"/>
    <w:rsid w:val="005A5CD5"/>
    <w:rsid w:val="005A6358"/>
    <w:rsid w:val="005A6C62"/>
    <w:rsid w:val="005A6E60"/>
    <w:rsid w:val="005A7125"/>
    <w:rsid w:val="005A7173"/>
    <w:rsid w:val="005B03E7"/>
    <w:rsid w:val="005B0860"/>
    <w:rsid w:val="005B0AF1"/>
    <w:rsid w:val="005B0D7B"/>
    <w:rsid w:val="005B192E"/>
    <w:rsid w:val="005B21B5"/>
    <w:rsid w:val="005B2A37"/>
    <w:rsid w:val="005B2DCE"/>
    <w:rsid w:val="005B32B4"/>
    <w:rsid w:val="005B3367"/>
    <w:rsid w:val="005B354A"/>
    <w:rsid w:val="005B3889"/>
    <w:rsid w:val="005B4117"/>
    <w:rsid w:val="005B4270"/>
    <w:rsid w:val="005B4429"/>
    <w:rsid w:val="005B448B"/>
    <w:rsid w:val="005B4A39"/>
    <w:rsid w:val="005B51E0"/>
    <w:rsid w:val="005B542C"/>
    <w:rsid w:val="005B5442"/>
    <w:rsid w:val="005B57EE"/>
    <w:rsid w:val="005B5A24"/>
    <w:rsid w:val="005B5CB0"/>
    <w:rsid w:val="005B5DEC"/>
    <w:rsid w:val="005B5F79"/>
    <w:rsid w:val="005B62CF"/>
    <w:rsid w:val="005B681A"/>
    <w:rsid w:val="005B792A"/>
    <w:rsid w:val="005B79D5"/>
    <w:rsid w:val="005B7E13"/>
    <w:rsid w:val="005C0F93"/>
    <w:rsid w:val="005C1017"/>
    <w:rsid w:val="005C1262"/>
    <w:rsid w:val="005C1734"/>
    <w:rsid w:val="005C1AD8"/>
    <w:rsid w:val="005C29C3"/>
    <w:rsid w:val="005C2BB3"/>
    <w:rsid w:val="005C3084"/>
    <w:rsid w:val="005C30D3"/>
    <w:rsid w:val="005C3C57"/>
    <w:rsid w:val="005C3FD8"/>
    <w:rsid w:val="005C3FF1"/>
    <w:rsid w:val="005C422D"/>
    <w:rsid w:val="005C46B5"/>
    <w:rsid w:val="005C4947"/>
    <w:rsid w:val="005C5273"/>
    <w:rsid w:val="005C5A7D"/>
    <w:rsid w:val="005C5F4D"/>
    <w:rsid w:val="005C6289"/>
    <w:rsid w:val="005C629C"/>
    <w:rsid w:val="005C63E4"/>
    <w:rsid w:val="005C6579"/>
    <w:rsid w:val="005C686F"/>
    <w:rsid w:val="005C6C25"/>
    <w:rsid w:val="005C6EA5"/>
    <w:rsid w:val="005C7249"/>
    <w:rsid w:val="005C7667"/>
    <w:rsid w:val="005C7676"/>
    <w:rsid w:val="005C7721"/>
    <w:rsid w:val="005C77C4"/>
    <w:rsid w:val="005C7858"/>
    <w:rsid w:val="005C79D4"/>
    <w:rsid w:val="005C7BCE"/>
    <w:rsid w:val="005D0052"/>
    <w:rsid w:val="005D04FD"/>
    <w:rsid w:val="005D0C2B"/>
    <w:rsid w:val="005D0FD0"/>
    <w:rsid w:val="005D1853"/>
    <w:rsid w:val="005D1A0F"/>
    <w:rsid w:val="005D219D"/>
    <w:rsid w:val="005D21BE"/>
    <w:rsid w:val="005D22A7"/>
    <w:rsid w:val="005D248F"/>
    <w:rsid w:val="005D2925"/>
    <w:rsid w:val="005D3014"/>
    <w:rsid w:val="005D319F"/>
    <w:rsid w:val="005D3239"/>
    <w:rsid w:val="005D3511"/>
    <w:rsid w:val="005D3623"/>
    <w:rsid w:val="005D3660"/>
    <w:rsid w:val="005D3B35"/>
    <w:rsid w:val="005D3E9F"/>
    <w:rsid w:val="005D4398"/>
    <w:rsid w:val="005D4722"/>
    <w:rsid w:val="005D4D3F"/>
    <w:rsid w:val="005D4E51"/>
    <w:rsid w:val="005D50E8"/>
    <w:rsid w:val="005D50FF"/>
    <w:rsid w:val="005D53F5"/>
    <w:rsid w:val="005D55F3"/>
    <w:rsid w:val="005D587C"/>
    <w:rsid w:val="005D5F7D"/>
    <w:rsid w:val="005D6520"/>
    <w:rsid w:val="005D6C7D"/>
    <w:rsid w:val="005D70EA"/>
    <w:rsid w:val="005D789D"/>
    <w:rsid w:val="005D7959"/>
    <w:rsid w:val="005D7C27"/>
    <w:rsid w:val="005D7DAA"/>
    <w:rsid w:val="005E01E0"/>
    <w:rsid w:val="005E05A6"/>
    <w:rsid w:val="005E05BF"/>
    <w:rsid w:val="005E0718"/>
    <w:rsid w:val="005E0B1E"/>
    <w:rsid w:val="005E0F82"/>
    <w:rsid w:val="005E118C"/>
    <w:rsid w:val="005E136F"/>
    <w:rsid w:val="005E16BF"/>
    <w:rsid w:val="005E19B4"/>
    <w:rsid w:val="005E19CD"/>
    <w:rsid w:val="005E1E74"/>
    <w:rsid w:val="005E1EE7"/>
    <w:rsid w:val="005E217C"/>
    <w:rsid w:val="005E2FC2"/>
    <w:rsid w:val="005E37AF"/>
    <w:rsid w:val="005E3956"/>
    <w:rsid w:val="005E3C68"/>
    <w:rsid w:val="005E46A7"/>
    <w:rsid w:val="005E46C2"/>
    <w:rsid w:val="005E49F2"/>
    <w:rsid w:val="005E4B96"/>
    <w:rsid w:val="005E4DD4"/>
    <w:rsid w:val="005E4F0B"/>
    <w:rsid w:val="005E513F"/>
    <w:rsid w:val="005E534E"/>
    <w:rsid w:val="005E5416"/>
    <w:rsid w:val="005E567D"/>
    <w:rsid w:val="005E56C7"/>
    <w:rsid w:val="005E56FD"/>
    <w:rsid w:val="005E58C3"/>
    <w:rsid w:val="005E597B"/>
    <w:rsid w:val="005E59BB"/>
    <w:rsid w:val="005E5D03"/>
    <w:rsid w:val="005E5E33"/>
    <w:rsid w:val="005E6427"/>
    <w:rsid w:val="005E684F"/>
    <w:rsid w:val="005E68B1"/>
    <w:rsid w:val="005E6A46"/>
    <w:rsid w:val="005E6BCB"/>
    <w:rsid w:val="005E6C9F"/>
    <w:rsid w:val="005E7558"/>
    <w:rsid w:val="005E7A84"/>
    <w:rsid w:val="005E7BD4"/>
    <w:rsid w:val="005E7E5C"/>
    <w:rsid w:val="005F0059"/>
    <w:rsid w:val="005F038D"/>
    <w:rsid w:val="005F03E6"/>
    <w:rsid w:val="005F0875"/>
    <w:rsid w:val="005F0985"/>
    <w:rsid w:val="005F0D56"/>
    <w:rsid w:val="005F0E17"/>
    <w:rsid w:val="005F0F5C"/>
    <w:rsid w:val="005F10D6"/>
    <w:rsid w:val="005F12FE"/>
    <w:rsid w:val="005F15A5"/>
    <w:rsid w:val="005F1972"/>
    <w:rsid w:val="005F1B36"/>
    <w:rsid w:val="005F1D41"/>
    <w:rsid w:val="005F22BC"/>
    <w:rsid w:val="005F2313"/>
    <w:rsid w:val="005F2549"/>
    <w:rsid w:val="005F2818"/>
    <w:rsid w:val="005F2A90"/>
    <w:rsid w:val="005F30B5"/>
    <w:rsid w:val="005F3326"/>
    <w:rsid w:val="005F3351"/>
    <w:rsid w:val="005F351E"/>
    <w:rsid w:val="005F3CB3"/>
    <w:rsid w:val="005F4045"/>
    <w:rsid w:val="005F4549"/>
    <w:rsid w:val="005F4583"/>
    <w:rsid w:val="005F4804"/>
    <w:rsid w:val="005F4D72"/>
    <w:rsid w:val="005F5101"/>
    <w:rsid w:val="005F5E71"/>
    <w:rsid w:val="005F655A"/>
    <w:rsid w:val="005F70FB"/>
    <w:rsid w:val="005F7468"/>
    <w:rsid w:val="005F74AC"/>
    <w:rsid w:val="005F7566"/>
    <w:rsid w:val="005F767D"/>
    <w:rsid w:val="005F76A4"/>
    <w:rsid w:val="005F779F"/>
    <w:rsid w:val="005F79BE"/>
    <w:rsid w:val="005F7A21"/>
    <w:rsid w:val="005F7CA8"/>
    <w:rsid w:val="00600072"/>
    <w:rsid w:val="00600960"/>
    <w:rsid w:val="00600E24"/>
    <w:rsid w:val="00600EAD"/>
    <w:rsid w:val="00600EF9"/>
    <w:rsid w:val="006014D7"/>
    <w:rsid w:val="00601E1F"/>
    <w:rsid w:val="00601E6A"/>
    <w:rsid w:val="00601E73"/>
    <w:rsid w:val="00601FE3"/>
    <w:rsid w:val="00602081"/>
    <w:rsid w:val="006021E6"/>
    <w:rsid w:val="006023BB"/>
    <w:rsid w:val="0060244F"/>
    <w:rsid w:val="006024B6"/>
    <w:rsid w:val="00603065"/>
    <w:rsid w:val="006032FB"/>
    <w:rsid w:val="0060337C"/>
    <w:rsid w:val="00603617"/>
    <w:rsid w:val="00603AD7"/>
    <w:rsid w:val="00603D2B"/>
    <w:rsid w:val="00604099"/>
    <w:rsid w:val="00604502"/>
    <w:rsid w:val="0060466C"/>
    <w:rsid w:val="006046B6"/>
    <w:rsid w:val="006050F7"/>
    <w:rsid w:val="006059EE"/>
    <w:rsid w:val="00605A36"/>
    <w:rsid w:val="00606513"/>
    <w:rsid w:val="006070AE"/>
    <w:rsid w:val="00607638"/>
    <w:rsid w:val="006076FC"/>
    <w:rsid w:val="006102C5"/>
    <w:rsid w:val="0061043C"/>
    <w:rsid w:val="00610ADE"/>
    <w:rsid w:val="00610BFB"/>
    <w:rsid w:val="00610D7B"/>
    <w:rsid w:val="0061129F"/>
    <w:rsid w:val="00611E72"/>
    <w:rsid w:val="006123A2"/>
    <w:rsid w:val="006123BA"/>
    <w:rsid w:val="0061268C"/>
    <w:rsid w:val="00612AA2"/>
    <w:rsid w:val="00612E78"/>
    <w:rsid w:val="0061353B"/>
    <w:rsid w:val="00613713"/>
    <w:rsid w:val="00613E2A"/>
    <w:rsid w:val="006141BA"/>
    <w:rsid w:val="00614470"/>
    <w:rsid w:val="00614622"/>
    <w:rsid w:val="00614A23"/>
    <w:rsid w:val="00614B75"/>
    <w:rsid w:val="00614D51"/>
    <w:rsid w:val="00615908"/>
    <w:rsid w:val="00615FCD"/>
    <w:rsid w:val="006162EC"/>
    <w:rsid w:val="0061685D"/>
    <w:rsid w:val="0061696A"/>
    <w:rsid w:val="00616AD2"/>
    <w:rsid w:val="00616DDB"/>
    <w:rsid w:val="0061700B"/>
    <w:rsid w:val="00617190"/>
    <w:rsid w:val="006173AF"/>
    <w:rsid w:val="006174E0"/>
    <w:rsid w:val="006178BC"/>
    <w:rsid w:val="0062038E"/>
    <w:rsid w:val="006205C1"/>
    <w:rsid w:val="00620753"/>
    <w:rsid w:val="00620E6F"/>
    <w:rsid w:val="00621000"/>
    <w:rsid w:val="0062101D"/>
    <w:rsid w:val="00621477"/>
    <w:rsid w:val="0062147E"/>
    <w:rsid w:val="0062180E"/>
    <w:rsid w:val="006218F7"/>
    <w:rsid w:val="0062293E"/>
    <w:rsid w:val="00622EAE"/>
    <w:rsid w:val="00622FA5"/>
    <w:rsid w:val="006230DF"/>
    <w:rsid w:val="006231B0"/>
    <w:rsid w:val="00623373"/>
    <w:rsid w:val="0062340D"/>
    <w:rsid w:val="00623AE5"/>
    <w:rsid w:val="00623C0E"/>
    <w:rsid w:val="00623E97"/>
    <w:rsid w:val="00623FD3"/>
    <w:rsid w:val="00623FDF"/>
    <w:rsid w:val="00624142"/>
    <w:rsid w:val="0062416F"/>
    <w:rsid w:val="00624553"/>
    <w:rsid w:val="006248E8"/>
    <w:rsid w:val="00624B39"/>
    <w:rsid w:val="00624B58"/>
    <w:rsid w:val="00624BCA"/>
    <w:rsid w:val="00624E83"/>
    <w:rsid w:val="0062523E"/>
    <w:rsid w:val="006252F1"/>
    <w:rsid w:val="00625405"/>
    <w:rsid w:val="00625743"/>
    <w:rsid w:val="00625749"/>
    <w:rsid w:val="0062576A"/>
    <w:rsid w:val="00625806"/>
    <w:rsid w:val="0062583A"/>
    <w:rsid w:val="00625A38"/>
    <w:rsid w:val="00625B5D"/>
    <w:rsid w:val="0062606D"/>
    <w:rsid w:val="0062624E"/>
    <w:rsid w:val="00626274"/>
    <w:rsid w:val="00626661"/>
    <w:rsid w:val="006267EB"/>
    <w:rsid w:val="006273BD"/>
    <w:rsid w:val="00630389"/>
    <w:rsid w:val="0063051C"/>
    <w:rsid w:val="006307AE"/>
    <w:rsid w:val="0063088E"/>
    <w:rsid w:val="006308F9"/>
    <w:rsid w:val="00630B78"/>
    <w:rsid w:val="00630FA7"/>
    <w:rsid w:val="00631063"/>
    <w:rsid w:val="006312FE"/>
    <w:rsid w:val="0063190E"/>
    <w:rsid w:val="00631C9B"/>
    <w:rsid w:val="00631F6C"/>
    <w:rsid w:val="006321DD"/>
    <w:rsid w:val="0063253F"/>
    <w:rsid w:val="006326A8"/>
    <w:rsid w:val="00632AE2"/>
    <w:rsid w:val="00632CD8"/>
    <w:rsid w:val="00633085"/>
    <w:rsid w:val="00633132"/>
    <w:rsid w:val="0063328E"/>
    <w:rsid w:val="006337F9"/>
    <w:rsid w:val="0063392E"/>
    <w:rsid w:val="00633AF8"/>
    <w:rsid w:val="00633B8E"/>
    <w:rsid w:val="00633CAB"/>
    <w:rsid w:val="00633E61"/>
    <w:rsid w:val="00633EB3"/>
    <w:rsid w:val="00634857"/>
    <w:rsid w:val="00634A17"/>
    <w:rsid w:val="00634E5C"/>
    <w:rsid w:val="00634EDF"/>
    <w:rsid w:val="006352DC"/>
    <w:rsid w:val="00635564"/>
    <w:rsid w:val="006358AE"/>
    <w:rsid w:val="00635924"/>
    <w:rsid w:val="0063592D"/>
    <w:rsid w:val="00635B05"/>
    <w:rsid w:val="00635B23"/>
    <w:rsid w:val="00635D35"/>
    <w:rsid w:val="00635DFA"/>
    <w:rsid w:val="00635E06"/>
    <w:rsid w:val="00635FF3"/>
    <w:rsid w:val="00636784"/>
    <w:rsid w:val="006367FE"/>
    <w:rsid w:val="00636EAC"/>
    <w:rsid w:val="006373E9"/>
    <w:rsid w:val="00637435"/>
    <w:rsid w:val="00637A86"/>
    <w:rsid w:val="00637C32"/>
    <w:rsid w:val="00637CD9"/>
    <w:rsid w:val="00640B19"/>
    <w:rsid w:val="00640C2E"/>
    <w:rsid w:val="00641591"/>
    <w:rsid w:val="006415CF"/>
    <w:rsid w:val="00641707"/>
    <w:rsid w:val="00641761"/>
    <w:rsid w:val="00641A77"/>
    <w:rsid w:val="00641AFB"/>
    <w:rsid w:val="00641C15"/>
    <w:rsid w:val="00642525"/>
    <w:rsid w:val="0064296E"/>
    <w:rsid w:val="00643283"/>
    <w:rsid w:val="006432C1"/>
    <w:rsid w:val="006436DF"/>
    <w:rsid w:val="00643717"/>
    <w:rsid w:val="0064388E"/>
    <w:rsid w:val="00643CD3"/>
    <w:rsid w:val="00643ECF"/>
    <w:rsid w:val="00643FD3"/>
    <w:rsid w:val="006443EF"/>
    <w:rsid w:val="00644C82"/>
    <w:rsid w:val="006453D5"/>
    <w:rsid w:val="00645E08"/>
    <w:rsid w:val="006460BD"/>
    <w:rsid w:val="006463D9"/>
    <w:rsid w:val="00646597"/>
    <w:rsid w:val="00646CC7"/>
    <w:rsid w:val="006473D1"/>
    <w:rsid w:val="00647928"/>
    <w:rsid w:val="00647ED0"/>
    <w:rsid w:val="00650105"/>
    <w:rsid w:val="00650C11"/>
    <w:rsid w:val="006515A6"/>
    <w:rsid w:val="006518F1"/>
    <w:rsid w:val="00651FA9"/>
    <w:rsid w:val="0065210E"/>
    <w:rsid w:val="006523AD"/>
    <w:rsid w:val="006523C6"/>
    <w:rsid w:val="00652BD8"/>
    <w:rsid w:val="00652D75"/>
    <w:rsid w:val="00652DD1"/>
    <w:rsid w:val="00652FA4"/>
    <w:rsid w:val="00653A6E"/>
    <w:rsid w:val="00653BE7"/>
    <w:rsid w:val="00653F50"/>
    <w:rsid w:val="006546CC"/>
    <w:rsid w:val="006551F3"/>
    <w:rsid w:val="0065545C"/>
    <w:rsid w:val="006559C7"/>
    <w:rsid w:val="00655AAA"/>
    <w:rsid w:val="00655EF6"/>
    <w:rsid w:val="00655F13"/>
    <w:rsid w:val="00656812"/>
    <w:rsid w:val="00656D79"/>
    <w:rsid w:val="00656DFE"/>
    <w:rsid w:val="006570B0"/>
    <w:rsid w:val="0065711D"/>
    <w:rsid w:val="0065719F"/>
    <w:rsid w:val="006574C9"/>
    <w:rsid w:val="0065760B"/>
    <w:rsid w:val="006577CC"/>
    <w:rsid w:val="00660B04"/>
    <w:rsid w:val="00660B89"/>
    <w:rsid w:val="00660C8A"/>
    <w:rsid w:val="00660DA8"/>
    <w:rsid w:val="00661174"/>
    <w:rsid w:val="0066124A"/>
    <w:rsid w:val="006615BD"/>
    <w:rsid w:val="006617FE"/>
    <w:rsid w:val="00661C77"/>
    <w:rsid w:val="006628A8"/>
    <w:rsid w:val="00662900"/>
    <w:rsid w:val="00662A7C"/>
    <w:rsid w:val="00663237"/>
    <w:rsid w:val="006632F0"/>
    <w:rsid w:val="00663597"/>
    <w:rsid w:val="00663606"/>
    <w:rsid w:val="0066363C"/>
    <w:rsid w:val="00663D65"/>
    <w:rsid w:val="00663DAF"/>
    <w:rsid w:val="00663E5B"/>
    <w:rsid w:val="00663E64"/>
    <w:rsid w:val="006644C2"/>
    <w:rsid w:val="00664DBB"/>
    <w:rsid w:val="0066565F"/>
    <w:rsid w:val="00665702"/>
    <w:rsid w:val="006658DA"/>
    <w:rsid w:val="00665CB1"/>
    <w:rsid w:val="00665D5D"/>
    <w:rsid w:val="006660B3"/>
    <w:rsid w:val="00666D03"/>
    <w:rsid w:val="00666E0F"/>
    <w:rsid w:val="00666F77"/>
    <w:rsid w:val="006670FD"/>
    <w:rsid w:val="00667671"/>
    <w:rsid w:val="006678FB"/>
    <w:rsid w:val="00667EAC"/>
    <w:rsid w:val="006709A8"/>
    <w:rsid w:val="00670A17"/>
    <w:rsid w:val="00670A29"/>
    <w:rsid w:val="006713F8"/>
    <w:rsid w:val="006717A5"/>
    <w:rsid w:val="00671A47"/>
    <w:rsid w:val="00671A49"/>
    <w:rsid w:val="00671A4A"/>
    <w:rsid w:val="00671B73"/>
    <w:rsid w:val="00671D15"/>
    <w:rsid w:val="006722CC"/>
    <w:rsid w:val="0067240C"/>
    <w:rsid w:val="00672444"/>
    <w:rsid w:val="006724D8"/>
    <w:rsid w:val="00672A85"/>
    <w:rsid w:val="00672E64"/>
    <w:rsid w:val="00672F0E"/>
    <w:rsid w:val="00673193"/>
    <w:rsid w:val="006731A0"/>
    <w:rsid w:val="00673582"/>
    <w:rsid w:val="006737A5"/>
    <w:rsid w:val="00673FF1"/>
    <w:rsid w:val="006744D9"/>
    <w:rsid w:val="00674DBA"/>
    <w:rsid w:val="00675043"/>
    <w:rsid w:val="00675407"/>
    <w:rsid w:val="006758D1"/>
    <w:rsid w:val="006758FD"/>
    <w:rsid w:val="00675A06"/>
    <w:rsid w:val="00675B32"/>
    <w:rsid w:val="00675BE9"/>
    <w:rsid w:val="00675F37"/>
    <w:rsid w:val="00675F91"/>
    <w:rsid w:val="00675FCE"/>
    <w:rsid w:val="00675FE2"/>
    <w:rsid w:val="006763AD"/>
    <w:rsid w:val="0067642D"/>
    <w:rsid w:val="00676509"/>
    <w:rsid w:val="006765E2"/>
    <w:rsid w:val="00676AED"/>
    <w:rsid w:val="006771D9"/>
    <w:rsid w:val="006776AA"/>
    <w:rsid w:val="006777DD"/>
    <w:rsid w:val="0067795E"/>
    <w:rsid w:val="00677A70"/>
    <w:rsid w:val="00677FB7"/>
    <w:rsid w:val="006802CB"/>
    <w:rsid w:val="00680629"/>
    <w:rsid w:val="00680720"/>
    <w:rsid w:val="00680887"/>
    <w:rsid w:val="00680B27"/>
    <w:rsid w:val="00680F82"/>
    <w:rsid w:val="00681250"/>
    <w:rsid w:val="006816AA"/>
    <w:rsid w:val="00681820"/>
    <w:rsid w:val="00681853"/>
    <w:rsid w:val="00681B13"/>
    <w:rsid w:val="00682099"/>
    <w:rsid w:val="00682652"/>
    <w:rsid w:val="00682B05"/>
    <w:rsid w:val="00682C79"/>
    <w:rsid w:val="00682E09"/>
    <w:rsid w:val="00682E97"/>
    <w:rsid w:val="00683306"/>
    <w:rsid w:val="0068330C"/>
    <w:rsid w:val="00683713"/>
    <w:rsid w:val="00683F7E"/>
    <w:rsid w:val="006843AF"/>
    <w:rsid w:val="00684731"/>
    <w:rsid w:val="00684860"/>
    <w:rsid w:val="00684CED"/>
    <w:rsid w:val="00685270"/>
    <w:rsid w:val="006853CF"/>
    <w:rsid w:val="00685537"/>
    <w:rsid w:val="00686273"/>
    <w:rsid w:val="00686460"/>
    <w:rsid w:val="006866C0"/>
    <w:rsid w:val="006866EF"/>
    <w:rsid w:val="00686E9E"/>
    <w:rsid w:val="00687024"/>
    <w:rsid w:val="006870D0"/>
    <w:rsid w:val="0068787F"/>
    <w:rsid w:val="00687CE3"/>
    <w:rsid w:val="00687F75"/>
    <w:rsid w:val="00687FF9"/>
    <w:rsid w:val="006909BD"/>
    <w:rsid w:val="00690C3C"/>
    <w:rsid w:val="00690DA5"/>
    <w:rsid w:val="00690EFB"/>
    <w:rsid w:val="00691240"/>
    <w:rsid w:val="00691309"/>
    <w:rsid w:val="006913F1"/>
    <w:rsid w:val="006915D3"/>
    <w:rsid w:val="00691827"/>
    <w:rsid w:val="006918EA"/>
    <w:rsid w:val="006919DF"/>
    <w:rsid w:val="006923B0"/>
    <w:rsid w:val="006924C8"/>
    <w:rsid w:val="0069257A"/>
    <w:rsid w:val="00692967"/>
    <w:rsid w:val="00692A4D"/>
    <w:rsid w:val="00692E62"/>
    <w:rsid w:val="00693165"/>
    <w:rsid w:val="00693469"/>
    <w:rsid w:val="006937D5"/>
    <w:rsid w:val="00693DE0"/>
    <w:rsid w:val="00693E97"/>
    <w:rsid w:val="00694293"/>
    <w:rsid w:val="006947F0"/>
    <w:rsid w:val="006949C6"/>
    <w:rsid w:val="00694A11"/>
    <w:rsid w:val="00694A90"/>
    <w:rsid w:val="00694AC6"/>
    <w:rsid w:val="00694AFD"/>
    <w:rsid w:val="00694BAD"/>
    <w:rsid w:val="00694FAF"/>
    <w:rsid w:val="00694FCB"/>
    <w:rsid w:val="00695B1D"/>
    <w:rsid w:val="00695B4C"/>
    <w:rsid w:val="00695D19"/>
    <w:rsid w:val="00695E49"/>
    <w:rsid w:val="0069625F"/>
    <w:rsid w:val="00696C3B"/>
    <w:rsid w:val="00696D35"/>
    <w:rsid w:val="006970D6"/>
    <w:rsid w:val="00697217"/>
    <w:rsid w:val="006972CA"/>
    <w:rsid w:val="0069751D"/>
    <w:rsid w:val="00697786"/>
    <w:rsid w:val="00697953"/>
    <w:rsid w:val="00697A58"/>
    <w:rsid w:val="00697D74"/>
    <w:rsid w:val="006A0187"/>
    <w:rsid w:val="006A0FC3"/>
    <w:rsid w:val="006A1679"/>
    <w:rsid w:val="006A194F"/>
    <w:rsid w:val="006A1D7C"/>
    <w:rsid w:val="006A1FA7"/>
    <w:rsid w:val="006A2474"/>
    <w:rsid w:val="006A26A1"/>
    <w:rsid w:val="006A2708"/>
    <w:rsid w:val="006A2793"/>
    <w:rsid w:val="006A28BE"/>
    <w:rsid w:val="006A2A97"/>
    <w:rsid w:val="006A2E0D"/>
    <w:rsid w:val="006A392E"/>
    <w:rsid w:val="006A4696"/>
    <w:rsid w:val="006A4FF4"/>
    <w:rsid w:val="006A5467"/>
    <w:rsid w:val="006A549A"/>
    <w:rsid w:val="006A5D49"/>
    <w:rsid w:val="006A64C8"/>
    <w:rsid w:val="006A6A94"/>
    <w:rsid w:val="006A6B7C"/>
    <w:rsid w:val="006A7EBF"/>
    <w:rsid w:val="006B0041"/>
    <w:rsid w:val="006B0098"/>
    <w:rsid w:val="006B0113"/>
    <w:rsid w:val="006B02E7"/>
    <w:rsid w:val="006B03AA"/>
    <w:rsid w:val="006B0694"/>
    <w:rsid w:val="006B083A"/>
    <w:rsid w:val="006B0935"/>
    <w:rsid w:val="006B19ED"/>
    <w:rsid w:val="006B1C59"/>
    <w:rsid w:val="006B1F77"/>
    <w:rsid w:val="006B29C7"/>
    <w:rsid w:val="006B2AD2"/>
    <w:rsid w:val="006B2F0D"/>
    <w:rsid w:val="006B3658"/>
    <w:rsid w:val="006B3E16"/>
    <w:rsid w:val="006B411C"/>
    <w:rsid w:val="006B4331"/>
    <w:rsid w:val="006B470D"/>
    <w:rsid w:val="006B49F6"/>
    <w:rsid w:val="006B5443"/>
    <w:rsid w:val="006B54B5"/>
    <w:rsid w:val="006B568C"/>
    <w:rsid w:val="006B5806"/>
    <w:rsid w:val="006B59E2"/>
    <w:rsid w:val="006B5A74"/>
    <w:rsid w:val="006B5DD2"/>
    <w:rsid w:val="006B5E4A"/>
    <w:rsid w:val="006B6699"/>
    <w:rsid w:val="006B6B42"/>
    <w:rsid w:val="006B6DAA"/>
    <w:rsid w:val="006B700B"/>
    <w:rsid w:val="006B700E"/>
    <w:rsid w:val="006B7132"/>
    <w:rsid w:val="006B7163"/>
    <w:rsid w:val="006B77EA"/>
    <w:rsid w:val="006B77EF"/>
    <w:rsid w:val="006B79C5"/>
    <w:rsid w:val="006B7D70"/>
    <w:rsid w:val="006C00BC"/>
    <w:rsid w:val="006C0349"/>
    <w:rsid w:val="006C054C"/>
    <w:rsid w:val="006C0666"/>
    <w:rsid w:val="006C0A93"/>
    <w:rsid w:val="006C0CAC"/>
    <w:rsid w:val="006C0FCB"/>
    <w:rsid w:val="006C18B7"/>
    <w:rsid w:val="006C19D1"/>
    <w:rsid w:val="006C2541"/>
    <w:rsid w:val="006C2722"/>
    <w:rsid w:val="006C29E2"/>
    <w:rsid w:val="006C2C1C"/>
    <w:rsid w:val="006C2C82"/>
    <w:rsid w:val="006C2FD5"/>
    <w:rsid w:val="006C30E3"/>
    <w:rsid w:val="006C3671"/>
    <w:rsid w:val="006C3BAB"/>
    <w:rsid w:val="006C3E1E"/>
    <w:rsid w:val="006C423A"/>
    <w:rsid w:val="006C43D4"/>
    <w:rsid w:val="006C44DF"/>
    <w:rsid w:val="006C48DA"/>
    <w:rsid w:val="006C4972"/>
    <w:rsid w:val="006C4D28"/>
    <w:rsid w:val="006C4FC8"/>
    <w:rsid w:val="006C501B"/>
    <w:rsid w:val="006C53A4"/>
    <w:rsid w:val="006C58F9"/>
    <w:rsid w:val="006C5915"/>
    <w:rsid w:val="006C597F"/>
    <w:rsid w:val="006C5A1D"/>
    <w:rsid w:val="006C5F21"/>
    <w:rsid w:val="006C6AB8"/>
    <w:rsid w:val="006C6E72"/>
    <w:rsid w:val="006C7168"/>
    <w:rsid w:val="006C73A0"/>
    <w:rsid w:val="006C757A"/>
    <w:rsid w:val="006C7711"/>
    <w:rsid w:val="006C7C5A"/>
    <w:rsid w:val="006D0380"/>
    <w:rsid w:val="006D0E98"/>
    <w:rsid w:val="006D1246"/>
    <w:rsid w:val="006D218D"/>
    <w:rsid w:val="006D243B"/>
    <w:rsid w:val="006D24D4"/>
    <w:rsid w:val="006D26B6"/>
    <w:rsid w:val="006D29E7"/>
    <w:rsid w:val="006D30EF"/>
    <w:rsid w:val="006D3255"/>
    <w:rsid w:val="006D32FB"/>
    <w:rsid w:val="006D342F"/>
    <w:rsid w:val="006D3560"/>
    <w:rsid w:val="006D36F8"/>
    <w:rsid w:val="006D37A3"/>
    <w:rsid w:val="006D385D"/>
    <w:rsid w:val="006D39E1"/>
    <w:rsid w:val="006D3CF0"/>
    <w:rsid w:val="006D3D0F"/>
    <w:rsid w:val="006D4032"/>
    <w:rsid w:val="006D427C"/>
    <w:rsid w:val="006D4736"/>
    <w:rsid w:val="006D4A70"/>
    <w:rsid w:val="006D4E84"/>
    <w:rsid w:val="006D5362"/>
    <w:rsid w:val="006D573B"/>
    <w:rsid w:val="006D684C"/>
    <w:rsid w:val="006D701D"/>
    <w:rsid w:val="006D7134"/>
    <w:rsid w:val="006D7740"/>
    <w:rsid w:val="006D7D98"/>
    <w:rsid w:val="006D7EAD"/>
    <w:rsid w:val="006E006D"/>
    <w:rsid w:val="006E0370"/>
    <w:rsid w:val="006E04FE"/>
    <w:rsid w:val="006E0E9E"/>
    <w:rsid w:val="006E1350"/>
    <w:rsid w:val="006E198F"/>
    <w:rsid w:val="006E1B28"/>
    <w:rsid w:val="006E1C30"/>
    <w:rsid w:val="006E1D6C"/>
    <w:rsid w:val="006E249F"/>
    <w:rsid w:val="006E24B4"/>
    <w:rsid w:val="006E2B0D"/>
    <w:rsid w:val="006E2C99"/>
    <w:rsid w:val="006E2E6B"/>
    <w:rsid w:val="006E2FEA"/>
    <w:rsid w:val="006E3165"/>
    <w:rsid w:val="006E32E1"/>
    <w:rsid w:val="006E3617"/>
    <w:rsid w:val="006E367B"/>
    <w:rsid w:val="006E36FB"/>
    <w:rsid w:val="006E37D5"/>
    <w:rsid w:val="006E380C"/>
    <w:rsid w:val="006E4356"/>
    <w:rsid w:val="006E46D0"/>
    <w:rsid w:val="006E4840"/>
    <w:rsid w:val="006E4AA7"/>
    <w:rsid w:val="006E594D"/>
    <w:rsid w:val="006E5F36"/>
    <w:rsid w:val="006E639B"/>
    <w:rsid w:val="006E6496"/>
    <w:rsid w:val="006E688B"/>
    <w:rsid w:val="006E6A39"/>
    <w:rsid w:val="006E7139"/>
    <w:rsid w:val="006E737F"/>
    <w:rsid w:val="006E74F8"/>
    <w:rsid w:val="006E778F"/>
    <w:rsid w:val="006E7859"/>
    <w:rsid w:val="006E78B0"/>
    <w:rsid w:val="006F0016"/>
    <w:rsid w:val="006F043E"/>
    <w:rsid w:val="006F05A6"/>
    <w:rsid w:val="006F0ACE"/>
    <w:rsid w:val="006F1525"/>
    <w:rsid w:val="006F1535"/>
    <w:rsid w:val="006F1573"/>
    <w:rsid w:val="006F1828"/>
    <w:rsid w:val="006F18C9"/>
    <w:rsid w:val="006F22C2"/>
    <w:rsid w:val="006F23CB"/>
    <w:rsid w:val="006F25EF"/>
    <w:rsid w:val="006F2865"/>
    <w:rsid w:val="006F28D1"/>
    <w:rsid w:val="006F2917"/>
    <w:rsid w:val="006F2AF9"/>
    <w:rsid w:val="006F2B51"/>
    <w:rsid w:val="006F31DD"/>
    <w:rsid w:val="006F3228"/>
    <w:rsid w:val="006F33B2"/>
    <w:rsid w:val="006F3DD0"/>
    <w:rsid w:val="006F3F09"/>
    <w:rsid w:val="006F43B5"/>
    <w:rsid w:val="006F4641"/>
    <w:rsid w:val="006F490C"/>
    <w:rsid w:val="006F4AA6"/>
    <w:rsid w:val="006F4DBC"/>
    <w:rsid w:val="006F4F21"/>
    <w:rsid w:val="006F52D8"/>
    <w:rsid w:val="006F55ED"/>
    <w:rsid w:val="006F5BF2"/>
    <w:rsid w:val="006F5E48"/>
    <w:rsid w:val="006F5ED3"/>
    <w:rsid w:val="006F6B0A"/>
    <w:rsid w:val="006F6B45"/>
    <w:rsid w:val="006F6BD6"/>
    <w:rsid w:val="006F6CF3"/>
    <w:rsid w:val="006F6E6E"/>
    <w:rsid w:val="006F700D"/>
    <w:rsid w:val="006F70CD"/>
    <w:rsid w:val="006F71E9"/>
    <w:rsid w:val="006F7259"/>
    <w:rsid w:val="006F7350"/>
    <w:rsid w:val="006F7609"/>
    <w:rsid w:val="006F7B07"/>
    <w:rsid w:val="006F7BA6"/>
    <w:rsid w:val="007002E6"/>
    <w:rsid w:val="007006F5"/>
    <w:rsid w:val="00700830"/>
    <w:rsid w:val="00700CD6"/>
    <w:rsid w:val="0070138B"/>
    <w:rsid w:val="007014DA"/>
    <w:rsid w:val="00701837"/>
    <w:rsid w:val="00701DA0"/>
    <w:rsid w:val="00701E87"/>
    <w:rsid w:val="007021B5"/>
    <w:rsid w:val="007021DC"/>
    <w:rsid w:val="007028D1"/>
    <w:rsid w:val="00702C97"/>
    <w:rsid w:val="00703522"/>
    <w:rsid w:val="007035EE"/>
    <w:rsid w:val="0070366D"/>
    <w:rsid w:val="00703B69"/>
    <w:rsid w:val="00703C76"/>
    <w:rsid w:val="00703D0C"/>
    <w:rsid w:val="00703F15"/>
    <w:rsid w:val="00704120"/>
    <w:rsid w:val="007041ED"/>
    <w:rsid w:val="00704757"/>
    <w:rsid w:val="007047D6"/>
    <w:rsid w:val="0070482E"/>
    <w:rsid w:val="007048E2"/>
    <w:rsid w:val="00704C1F"/>
    <w:rsid w:val="00704C7F"/>
    <w:rsid w:val="00705161"/>
    <w:rsid w:val="00705C39"/>
    <w:rsid w:val="00705C3E"/>
    <w:rsid w:val="00705C9E"/>
    <w:rsid w:val="00705EB8"/>
    <w:rsid w:val="00706044"/>
    <w:rsid w:val="00706076"/>
    <w:rsid w:val="00706435"/>
    <w:rsid w:val="00706740"/>
    <w:rsid w:val="00706CEE"/>
    <w:rsid w:val="007070F0"/>
    <w:rsid w:val="0070733C"/>
    <w:rsid w:val="0070764E"/>
    <w:rsid w:val="007079C2"/>
    <w:rsid w:val="00707A97"/>
    <w:rsid w:val="00707CFB"/>
    <w:rsid w:val="0071022E"/>
    <w:rsid w:val="007108D8"/>
    <w:rsid w:val="00710B5D"/>
    <w:rsid w:val="0071157E"/>
    <w:rsid w:val="00711EFE"/>
    <w:rsid w:val="00711F11"/>
    <w:rsid w:val="00712B7E"/>
    <w:rsid w:val="00712CBA"/>
    <w:rsid w:val="0071306F"/>
    <w:rsid w:val="0071385F"/>
    <w:rsid w:val="00713C4B"/>
    <w:rsid w:val="007140D4"/>
    <w:rsid w:val="0071463C"/>
    <w:rsid w:val="00714694"/>
    <w:rsid w:val="00714876"/>
    <w:rsid w:val="00715912"/>
    <w:rsid w:val="00715F4E"/>
    <w:rsid w:val="00716001"/>
    <w:rsid w:val="0071628D"/>
    <w:rsid w:val="007164BE"/>
    <w:rsid w:val="00716E18"/>
    <w:rsid w:val="00717450"/>
    <w:rsid w:val="00717CA9"/>
    <w:rsid w:val="00717F9A"/>
    <w:rsid w:val="007201D2"/>
    <w:rsid w:val="007206C6"/>
    <w:rsid w:val="00720D3A"/>
    <w:rsid w:val="00721134"/>
    <w:rsid w:val="007212C3"/>
    <w:rsid w:val="007217B0"/>
    <w:rsid w:val="007219C9"/>
    <w:rsid w:val="00721C31"/>
    <w:rsid w:val="00721CB7"/>
    <w:rsid w:val="00721FD3"/>
    <w:rsid w:val="0072206D"/>
    <w:rsid w:val="007225D7"/>
    <w:rsid w:val="007227D7"/>
    <w:rsid w:val="00722B07"/>
    <w:rsid w:val="00722DAA"/>
    <w:rsid w:val="00722DE1"/>
    <w:rsid w:val="00723562"/>
    <w:rsid w:val="0072359D"/>
    <w:rsid w:val="007236F8"/>
    <w:rsid w:val="00723EA4"/>
    <w:rsid w:val="00723F25"/>
    <w:rsid w:val="0072448E"/>
    <w:rsid w:val="00724FD7"/>
    <w:rsid w:val="0072507A"/>
    <w:rsid w:val="0072553A"/>
    <w:rsid w:val="007255B7"/>
    <w:rsid w:val="007258D2"/>
    <w:rsid w:val="00725C03"/>
    <w:rsid w:val="0072664F"/>
    <w:rsid w:val="00726709"/>
    <w:rsid w:val="00726ACD"/>
    <w:rsid w:val="00727039"/>
    <w:rsid w:val="00727071"/>
    <w:rsid w:val="00727242"/>
    <w:rsid w:val="00727661"/>
    <w:rsid w:val="00727D25"/>
    <w:rsid w:val="00727D65"/>
    <w:rsid w:val="00727E45"/>
    <w:rsid w:val="007305C3"/>
    <w:rsid w:val="00730600"/>
    <w:rsid w:val="007307A3"/>
    <w:rsid w:val="00730AF5"/>
    <w:rsid w:val="00731013"/>
    <w:rsid w:val="0073169F"/>
    <w:rsid w:val="00731A07"/>
    <w:rsid w:val="00731B2C"/>
    <w:rsid w:val="00731CA5"/>
    <w:rsid w:val="00732A04"/>
    <w:rsid w:val="0073333F"/>
    <w:rsid w:val="0073334B"/>
    <w:rsid w:val="0073372A"/>
    <w:rsid w:val="0073384C"/>
    <w:rsid w:val="00733947"/>
    <w:rsid w:val="00734007"/>
    <w:rsid w:val="0073413D"/>
    <w:rsid w:val="0073419D"/>
    <w:rsid w:val="00734365"/>
    <w:rsid w:val="0073465B"/>
    <w:rsid w:val="0073468E"/>
    <w:rsid w:val="007347FC"/>
    <w:rsid w:val="0073503C"/>
    <w:rsid w:val="00735177"/>
    <w:rsid w:val="00735361"/>
    <w:rsid w:val="007357D1"/>
    <w:rsid w:val="00735B9A"/>
    <w:rsid w:val="00735FE7"/>
    <w:rsid w:val="00736352"/>
    <w:rsid w:val="00736894"/>
    <w:rsid w:val="00736999"/>
    <w:rsid w:val="00736B05"/>
    <w:rsid w:val="00736D14"/>
    <w:rsid w:val="00736D20"/>
    <w:rsid w:val="00737096"/>
    <w:rsid w:val="00737CB4"/>
    <w:rsid w:val="00737ED7"/>
    <w:rsid w:val="0074007F"/>
    <w:rsid w:val="007403B1"/>
    <w:rsid w:val="00740579"/>
    <w:rsid w:val="0074084E"/>
    <w:rsid w:val="00740A44"/>
    <w:rsid w:val="00740D24"/>
    <w:rsid w:val="007411C3"/>
    <w:rsid w:val="0074158B"/>
    <w:rsid w:val="00741EA7"/>
    <w:rsid w:val="00741ED7"/>
    <w:rsid w:val="00742472"/>
    <w:rsid w:val="0074249E"/>
    <w:rsid w:val="0074272E"/>
    <w:rsid w:val="00742990"/>
    <w:rsid w:val="00742C4C"/>
    <w:rsid w:val="00742DB3"/>
    <w:rsid w:val="00742F94"/>
    <w:rsid w:val="00743185"/>
    <w:rsid w:val="00743328"/>
    <w:rsid w:val="00743917"/>
    <w:rsid w:val="00743C64"/>
    <w:rsid w:val="00744219"/>
    <w:rsid w:val="00744446"/>
    <w:rsid w:val="00744955"/>
    <w:rsid w:val="00744AA2"/>
    <w:rsid w:val="00744B60"/>
    <w:rsid w:val="00744B8C"/>
    <w:rsid w:val="0074507D"/>
    <w:rsid w:val="007452CF"/>
    <w:rsid w:val="00745344"/>
    <w:rsid w:val="00745AAB"/>
    <w:rsid w:val="00746184"/>
    <w:rsid w:val="0074659C"/>
    <w:rsid w:val="0074697D"/>
    <w:rsid w:val="00746F72"/>
    <w:rsid w:val="00747B09"/>
    <w:rsid w:val="00747FBF"/>
    <w:rsid w:val="00750207"/>
    <w:rsid w:val="00750AB1"/>
    <w:rsid w:val="00750C3A"/>
    <w:rsid w:val="00751067"/>
    <w:rsid w:val="00751B1D"/>
    <w:rsid w:val="00751B41"/>
    <w:rsid w:val="00751CF0"/>
    <w:rsid w:val="007520B7"/>
    <w:rsid w:val="007525A6"/>
    <w:rsid w:val="00752608"/>
    <w:rsid w:val="0075280B"/>
    <w:rsid w:val="00752882"/>
    <w:rsid w:val="00752974"/>
    <w:rsid w:val="00752E7F"/>
    <w:rsid w:val="00753A1B"/>
    <w:rsid w:val="00754124"/>
    <w:rsid w:val="0075466D"/>
    <w:rsid w:val="00754F83"/>
    <w:rsid w:val="007550B4"/>
    <w:rsid w:val="00755327"/>
    <w:rsid w:val="00755446"/>
    <w:rsid w:val="00755853"/>
    <w:rsid w:val="00755956"/>
    <w:rsid w:val="00755BF9"/>
    <w:rsid w:val="00756289"/>
    <w:rsid w:val="00756566"/>
    <w:rsid w:val="00756B17"/>
    <w:rsid w:val="00756BAF"/>
    <w:rsid w:val="00756D3D"/>
    <w:rsid w:val="00756E8E"/>
    <w:rsid w:val="00757096"/>
    <w:rsid w:val="007572A1"/>
    <w:rsid w:val="007573CD"/>
    <w:rsid w:val="00757651"/>
    <w:rsid w:val="00757E09"/>
    <w:rsid w:val="00757F25"/>
    <w:rsid w:val="00760066"/>
    <w:rsid w:val="007601B6"/>
    <w:rsid w:val="0076022A"/>
    <w:rsid w:val="007602C8"/>
    <w:rsid w:val="0076075C"/>
    <w:rsid w:val="00760FB5"/>
    <w:rsid w:val="00761543"/>
    <w:rsid w:val="00761904"/>
    <w:rsid w:val="00762064"/>
    <w:rsid w:val="007620EB"/>
    <w:rsid w:val="0076225A"/>
    <w:rsid w:val="0076227C"/>
    <w:rsid w:val="007622DB"/>
    <w:rsid w:val="00762588"/>
    <w:rsid w:val="00762A68"/>
    <w:rsid w:val="00762ED5"/>
    <w:rsid w:val="007639B2"/>
    <w:rsid w:val="00763BAD"/>
    <w:rsid w:val="00763FED"/>
    <w:rsid w:val="007642FA"/>
    <w:rsid w:val="0076433C"/>
    <w:rsid w:val="007649E4"/>
    <w:rsid w:val="00764ADB"/>
    <w:rsid w:val="00764AE0"/>
    <w:rsid w:val="007650BF"/>
    <w:rsid w:val="007656A9"/>
    <w:rsid w:val="00765749"/>
    <w:rsid w:val="007660A7"/>
    <w:rsid w:val="007660CE"/>
    <w:rsid w:val="007663F2"/>
    <w:rsid w:val="007664BC"/>
    <w:rsid w:val="00766569"/>
    <w:rsid w:val="007666BA"/>
    <w:rsid w:val="00766E67"/>
    <w:rsid w:val="00767076"/>
    <w:rsid w:val="00767180"/>
    <w:rsid w:val="00767328"/>
    <w:rsid w:val="00767825"/>
    <w:rsid w:val="00767832"/>
    <w:rsid w:val="007679FB"/>
    <w:rsid w:val="00767A39"/>
    <w:rsid w:val="00767ECB"/>
    <w:rsid w:val="00770A22"/>
    <w:rsid w:val="00770C50"/>
    <w:rsid w:val="00770C66"/>
    <w:rsid w:val="00771681"/>
    <w:rsid w:val="007718A3"/>
    <w:rsid w:val="0077208B"/>
    <w:rsid w:val="007723BD"/>
    <w:rsid w:val="007727B4"/>
    <w:rsid w:val="00772BD5"/>
    <w:rsid w:val="00772BF2"/>
    <w:rsid w:val="00772CD9"/>
    <w:rsid w:val="00772F91"/>
    <w:rsid w:val="00772FDA"/>
    <w:rsid w:val="0077333A"/>
    <w:rsid w:val="007733E5"/>
    <w:rsid w:val="007737A8"/>
    <w:rsid w:val="007738CA"/>
    <w:rsid w:val="007739A8"/>
    <w:rsid w:val="00773BFF"/>
    <w:rsid w:val="00773F65"/>
    <w:rsid w:val="00774301"/>
    <w:rsid w:val="0077434B"/>
    <w:rsid w:val="00774677"/>
    <w:rsid w:val="007746D8"/>
    <w:rsid w:val="00775060"/>
    <w:rsid w:val="00775121"/>
    <w:rsid w:val="007754EA"/>
    <w:rsid w:val="00775E8F"/>
    <w:rsid w:val="00776154"/>
    <w:rsid w:val="0077663F"/>
    <w:rsid w:val="0077666B"/>
    <w:rsid w:val="007768E3"/>
    <w:rsid w:val="00776C95"/>
    <w:rsid w:val="00776F8E"/>
    <w:rsid w:val="007771C3"/>
    <w:rsid w:val="0077753C"/>
    <w:rsid w:val="00777E61"/>
    <w:rsid w:val="00777FAC"/>
    <w:rsid w:val="00781965"/>
    <w:rsid w:val="007820D6"/>
    <w:rsid w:val="007822EB"/>
    <w:rsid w:val="00782882"/>
    <w:rsid w:val="0078297D"/>
    <w:rsid w:val="00782B76"/>
    <w:rsid w:val="00782B8E"/>
    <w:rsid w:val="00783A15"/>
    <w:rsid w:val="00784143"/>
    <w:rsid w:val="007843E3"/>
    <w:rsid w:val="007846C3"/>
    <w:rsid w:val="007846F4"/>
    <w:rsid w:val="00784797"/>
    <w:rsid w:val="007848DF"/>
    <w:rsid w:val="00784CB7"/>
    <w:rsid w:val="0078579A"/>
    <w:rsid w:val="007858F6"/>
    <w:rsid w:val="00786089"/>
    <w:rsid w:val="007860F3"/>
    <w:rsid w:val="0078616A"/>
    <w:rsid w:val="007861A4"/>
    <w:rsid w:val="007862D8"/>
    <w:rsid w:val="00786912"/>
    <w:rsid w:val="00786D0D"/>
    <w:rsid w:val="007870F8"/>
    <w:rsid w:val="007871DC"/>
    <w:rsid w:val="00787768"/>
    <w:rsid w:val="00790042"/>
    <w:rsid w:val="007902FF"/>
    <w:rsid w:val="00790623"/>
    <w:rsid w:val="0079066A"/>
    <w:rsid w:val="00790B6A"/>
    <w:rsid w:val="00790FEC"/>
    <w:rsid w:val="00791144"/>
    <w:rsid w:val="0079116D"/>
    <w:rsid w:val="00791509"/>
    <w:rsid w:val="0079183D"/>
    <w:rsid w:val="00791ADB"/>
    <w:rsid w:val="00791CC0"/>
    <w:rsid w:val="00792161"/>
    <w:rsid w:val="007922DB"/>
    <w:rsid w:val="007925A0"/>
    <w:rsid w:val="00792C40"/>
    <w:rsid w:val="00792E77"/>
    <w:rsid w:val="00793663"/>
    <w:rsid w:val="007942B9"/>
    <w:rsid w:val="007944FB"/>
    <w:rsid w:val="0079485D"/>
    <w:rsid w:val="00794D61"/>
    <w:rsid w:val="007951C7"/>
    <w:rsid w:val="007952C5"/>
    <w:rsid w:val="007954D6"/>
    <w:rsid w:val="007955A3"/>
    <w:rsid w:val="00795628"/>
    <w:rsid w:val="00795697"/>
    <w:rsid w:val="00795A56"/>
    <w:rsid w:val="00795C6E"/>
    <w:rsid w:val="0079628B"/>
    <w:rsid w:val="00796354"/>
    <w:rsid w:val="00796FBD"/>
    <w:rsid w:val="0079758B"/>
    <w:rsid w:val="007979B2"/>
    <w:rsid w:val="00797CE5"/>
    <w:rsid w:val="00797ED3"/>
    <w:rsid w:val="007A017D"/>
    <w:rsid w:val="007A0316"/>
    <w:rsid w:val="007A0501"/>
    <w:rsid w:val="007A065B"/>
    <w:rsid w:val="007A0FB5"/>
    <w:rsid w:val="007A1656"/>
    <w:rsid w:val="007A2462"/>
    <w:rsid w:val="007A27E7"/>
    <w:rsid w:val="007A2C66"/>
    <w:rsid w:val="007A323B"/>
    <w:rsid w:val="007A340C"/>
    <w:rsid w:val="007A393B"/>
    <w:rsid w:val="007A3FD5"/>
    <w:rsid w:val="007A496F"/>
    <w:rsid w:val="007A5130"/>
    <w:rsid w:val="007A5651"/>
    <w:rsid w:val="007A5716"/>
    <w:rsid w:val="007A5730"/>
    <w:rsid w:val="007A57B0"/>
    <w:rsid w:val="007A59E9"/>
    <w:rsid w:val="007A5B0B"/>
    <w:rsid w:val="007A5D6D"/>
    <w:rsid w:val="007A62CE"/>
    <w:rsid w:val="007A6346"/>
    <w:rsid w:val="007A6682"/>
    <w:rsid w:val="007A6809"/>
    <w:rsid w:val="007A6890"/>
    <w:rsid w:val="007A68E5"/>
    <w:rsid w:val="007A6AD5"/>
    <w:rsid w:val="007A6F9F"/>
    <w:rsid w:val="007A7236"/>
    <w:rsid w:val="007A72FB"/>
    <w:rsid w:val="007A79AD"/>
    <w:rsid w:val="007A7A9D"/>
    <w:rsid w:val="007A7B5D"/>
    <w:rsid w:val="007A7BCA"/>
    <w:rsid w:val="007A7F3A"/>
    <w:rsid w:val="007A7F9E"/>
    <w:rsid w:val="007B0288"/>
    <w:rsid w:val="007B02A3"/>
    <w:rsid w:val="007B0317"/>
    <w:rsid w:val="007B0628"/>
    <w:rsid w:val="007B0861"/>
    <w:rsid w:val="007B0975"/>
    <w:rsid w:val="007B0A67"/>
    <w:rsid w:val="007B0C6C"/>
    <w:rsid w:val="007B0D5D"/>
    <w:rsid w:val="007B0DE3"/>
    <w:rsid w:val="007B0FB3"/>
    <w:rsid w:val="007B1238"/>
    <w:rsid w:val="007B1E22"/>
    <w:rsid w:val="007B216F"/>
    <w:rsid w:val="007B27D2"/>
    <w:rsid w:val="007B28AF"/>
    <w:rsid w:val="007B28F6"/>
    <w:rsid w:val="007B2980"/>
    <w:rsid w:val="007B2C75"/>
    <w:rsid w:val="007B2FCA"/>
    <w:rsid w:val="007B3171"/>
    <w:rsid w:val="007B334C"/>
    <w:rsid w:val="007B376E"/>
    <w:rsid w:val="007B3E96"/>
    <w:rsid w:val="007B4A8D"/>
    <w:rsid w:val="007B4C55"/>
    <w:rsid w:val="007B4EF8"/>
    <w:rsid w:val="007B50B2"/>
    <w:rsid w:val="007B5195"/>
    <w:rsid w:val="007B5862"/>
    <w:rsid w:val="007B58FA"/>
    <w:rsid w:val="007B5BAE"/>
    <w:rsid w:val="007B5DD9"/>
    <w:rsid w:val="007B6293"/>
    <w:rsid w:val="007B65A9"/>
    <w:rsid w:val="007B662A"/>
    <w:rsid w:val="007B66FD"/>
    <w:rsid w:val="007B685E"/>
    <w:rsid w:val="007B688F"/>
    <w:rsid w:val="007B6F6B"/>
    <w:rsid w:val="007B6FDD"/>
    <w:rsid w:val="007B70EB"/>
    <w:rsid w:val="007B77F7"/>
    <w:rsid w:val="007B79CB"/>
    <w:rsid w:val="007B7F42"/>
    <w:rsid w:val="007C0088"/>
    <w:rsid w:val="007C015E"/>
    <w:rsid w:val="007C051D"/>
    <w:rsid w:val="007C1008"/>
    <w:rsid w:val="007C1173"/>
    <w:rsid w:val="007C118E"/>
    <w:rsid w:val="007C12C6"/>
    <w:rsid w:val="007C15F6"/>
    <w:rsid w:val="007C160D"/>
    <w:rsid w:val="007C1752"/>
    <w:rsid w:val="007C1803"/>
    <w:rsid w:val="007C18C2"/>
    <w:rsid w:val="007C1C78"/>
    <w:rsid w:val="007C1CA8"/>
    <w:rsid w:val="007C2937"/>
    <w:rsid w:val="007C2B68"/>
    <w:rsid w:val="007C2DFF"/>
    <w:rsid w:val="007C2EFF"/>
    <w:rsid w:val="007C2F2F"/>
    <w:rsid w:val="007C3016"/>
    <w:rsid w:val="007C37F1"/>
    <w:rsid w:val="007C38F9"/>
    <w:rsid w:val="007C3FC1"/>
    <w:rsid w:val="007C415F"/>
    <w:rsid w:val="007C4E56"/>
    <w:rsid w:val="007C540B"/>
    <w:rsid w:val="007C54FC"/>
    <w:rsid w:val="007C599A"/>
    <w:rsid w:val="007C5CAF"/>
    <w:rsid w:val="007C5E15"/>
    <w:rsid w:val="007C5E19"/>
    <w:rsid w:val="007C61D6"/>
    <w:rsid w:val="007C624A"/>
    <w:rsid w:val="007C6688"/>
    <w:rsid w:val="007C72A8"/>
    <w:rsid w:val="007C7C26"/>
    <w:rsid w:val="007D0353"/>
    <w:rsid w:val="007D057D"/>
    <w:rsid w:val="007D0746"/>
    <w:rsid w:val="007D07B4"/>
    <w:rsid w:val="007D0801"/>
    <w:rsid w:val="007D1171"/>
    <w:rsid w:val="007D13CC"/>
    <w:rsid w:val="007D16CA"/>
    <w:rsid w:val="007D1723"/>
    <w:rsid w:val="007D1B9F"/>
    <w:rsid w:val="007D1BB7"/>
    <w:rsid w:val="007D1CB8"/>
    <w:rsid w:val="007D2095"/>
    <w:rsid w:val="007D227A"/>
    <w:rsid w:val="007D2289"/>
    <w:rsid w:val="007D231C"/>
    <w:rsid w:val="007D2595"/>
    <w:rsid w:val="007D2899"/>
    <w:rsid w:val="007D2C6E"/>
    <w:rsid w:val="007D2C74"/>
    <w:rsid w:val="007D3853"/>
    <w:rsid w:val="007D3BEE"/>
    <w:rsid w:val="007D44DA"/>
    <w:rsid w:val="007D450F"/>
    <w:rsid w:val="007D478F"/>
    <w:rsid w:val="007D47CD"/>
    <w:rsid w:val="007D4F2B"/>
    <w:rsid w:val="007D4FBF"/>
    <w:rsid w:val="007D5140"/>
    <w:rsid w:val="007D517A"/>
    <w:rsid w:val="007D5519"/>
    <w:rsid w:val="007D5B3F"/>
    <w:rsid w:val="007D5BFB"/>
    <w:rsid w:val="007D61CC"/>
    <w:rsid w:val="007D6904"/>
    <w:rsid w:val="007D6CE6"/>
    <w:rsid w:val="007D77B4"/>
    <w:rsid w:val="007D7872"/>
    <w:rsid w:val="007D78C4"/>
    <w:rsid w:val="007E003B"/>
    <w:rsid w:val="007E0200"/>
    <w:rsid w:val="007E050F"/>
    <w:rsid w:val="007E086D"/>
    <w:rsid w:val="007E0D84"/>
    <w:rsid w:val="007E1275"/>
    <w:rsid w:val="007E1CCE"/>
    <w:rsid w:val="007E1D55"/>
    <w:rsid w:val="007E211F"/>
    <w:rsid w:val="007E2178"/>
    <w:rsid w:val="007E2210"/>
    <w:rsid w:val="007E22AE"/>
    <w:rsid w:val="007E235F"/>
    <w:rsid w:val="007E2927"/>
    <w:rsid w:val="007E2AA5"/>
    <w:rsid w:val="007E2B47"/>
    <w:rsid w:val="007E2B71"/>
    <w:rsid w:val="007E2DE2"/>
    <w:rsid w:val="007E2E43"/>
    <w:rsid w:val="007E2F5A"/>
    <w:rsid w:val="007E3283"/>
    <w:rsid w:val="007E32D9"/>
    <w:rsid w:val="007E36E5"/>
    <w:rsid w:val="007E386F"/>
    <w:rsid w:val="007E396B"/>
    <w:rsid w:val="007E3BF7"/>
    <w:rsid w:val="007E3F70"/>
    <w:rsid w:val="007E43A6"/>
    <w:rsid w:val="007E4526"/>
    <w:rsid w:val="007E4DA6"/>
    <w:rsid w:val="007E5508"/>
    <w:rsid w:val="007E57E8"/>
    <w:rsid w:val="007E5C1F"/>
    <w:rsid w:val="007E5C31"/>
    <w:rsid w:val="007E5C35"/>
    <w:rsid w:val="007E6A33"/>
    <w:rsid w:val="007E7196"/>
    <w:rsid w:val="007E727E"/>
    <w:rsid w:val="007E74E4"/>
    <w:rsid w:val="007F029D"/>
    <w:rsid w:val="007F03D3"/>
    <w:rsid w:val="007F068F"/>
    <w:rsid w:val="007F0B26"/>
    <w:rsid w:val="007F1239"/>
    <w:rsid w:val="007F1241"/>
    <w:rsid w:val="007F1342"/>
    <w:rsid w:val="007F1496"/>
    <w:rsid w:val="007F14AC"/>
    <w:rsid w:val="007F16E8"/>
    <w:rsid w:val="007F174F"/>
    <w:rsid w:val="007F20E1"/>
    <w:rsid w:val="007F228F"/>
    <w:rsid w:val="007F2300"/>
    <w:rsid w:val="007F2462"/>
    <w:rsid w:val="007F2559"/>
    <w:rsid w:val="007F26EF"/>
    <w:rsid w:val="007F297D"/>
    <w:rsid w:val="007F2AAA"/>
    <w:rsid w:val="007F3216"/>
    <w:rsid w:val="007F378C"/>
    <w:rsid w:val="007F3A21"/>
    <w:rsid w:val="007F3DF9"/>
    <w:rsid w:val="007F401F"/>
    <w:rsid w:val="007F425F"/>
    <w:rsid w:val="007F4476"/>
    <w:rsid w:val="007F4AC1"/>
    <w:rsid w:val="007F5144"/>
    <w:rsid w:val="007F51CC"/>
    <w:rsid w:val="007F51CE"/>
    <w:rsid w:val="007F537A"/>
    <w:rsid w:val="007F5481"/>
    <w:rsid w:val="007F549A"/>
    <w:rsid w:val="007F5D7E"/>
    <w:rsid w:val="007F5E0A"/>
    <w:rsid w:val="007F5F1C"/>
    <w:rsid w:val="007F5F94"/>
    <w:rsid w:val="007F5FC4"/>
    <w:rsid w:val="007F6391"/>
    <w:rsid w:val="007F640A"/>
    <w:rsid w:val="007F6B51"/>
    <w:rsid w:val="007F6BD3"/>
    <w:rsid w:val="007F6CCC"/>
    <w:rsid w:val="007F6E2A"/>
    <w:rsid w:val="007F70FE"/>
    <w:rsid w:val="007F7987"/>
    <w:rsid w:val="007F7A5C"/>
    <w:rsid w:val="007F7D27"/>
    <w:rsid w:val="007F7EFB"/>
    <w:rsid w:val="00800130"/>
    <w:rsid w:val="008005FA"/>
    <w:rsid w:val="00800681"/>
    <w:rsid w:val="00800E43"/>
    <w:rsid w:val="0080110F"/>
    <w:rsid w:val="008015F6"/>
    <w:rsid w:val="008017C0"/>
    <w:rsid w:val="00801901"/>
    <w:rsid w:val="00801AC0"/>
    <w:rsid w:val="00801AC8"/>
    <w:rsid w:val="00801B79"/>
    <w:rsid w:val="00801D20"/>
    <w:rsid w:val="00801DE4"/>
    <w:rsid w:val="00801E04"/>
    <w:rsid w:val="00801EB0"/>
    <w:rsid w:val="00802377"/>
    <w:rsid w:val="00802694"/>
    <w:rsid w:val="0080291B"/>
    <w:rsid w:val="00802FF0"/>
    <w:rsid w:val="008030B0"/>
    <w:rsid w:val="00803787"/>
    <w:rsid w:val="00803BB2"/>
    <w:rsid w:val="00804DAC"/>
    <w:rsid w:val="008051AD"/>
    <w:rsid w:val="0080559C"/>
    <w:rsid w:val="00805B67"/>
    <w:rsid w:val="00806051"/>
    <w:rsid w:val="0080612A"/>
    <w:rsid w:val="00806187"/>
    <w:rsid w:val="00806374"/>
    <w:rsid w:val="00806522"/>
    <w:rsid w:val="008067C5"/>
    <w:rsid w:val="0080681D"/>
    <w:rsid w:val="00806AD3"/>
    <w:rsid w:val="00806BEE"/>
    <w:rsid w:val="00806C07"/>
    <w:rsid w:val="00806D18"/>
    <w:rsid w:val="00806EBE"/>
    <w:rsid w:val="008070E2"/>
    <w:rsid w:val="008072B3"/>
    <w:rsid w:val="0080737A"/>
    <w:rsid w:val="008077EA"/>
    <w:rsid w:val="00807B5C"/>
    <w:rsid w:val="008101C1"/>
    <w:rsid w:val="008101D6"/>
    <w:rsid w:val="00810344"/>
    <w:rsid w:val="008103E4"/>
    <w:rsid w:val="00810525"/>
    <w:rsid w:val="0081078D"/>
    <w:rsid w:val="0081092B"/>
    <w:rsid w:val="00810B8A"/>
    <w:rsid w:val="00810E8C"/>
    <w:rsid w:val="00810F9D"/>
    <w:rsid w:val="00811228"/>
    <w:rsid w:val="00811553"/>
    <w:rsid w:val="00812320"/>
    <w:rsid w:val="008125C7"/>
    <w:rsid w:val="008127C1"/>
    <w:rsid w:val="0081280A"/>
    <w:rsid w:val="008128A5"/>
    <w:rsid w:val="00812AD7"/>
    <w:rsid w:val="00813679"/>
    <w:rsid w:val="00813A38"/>
    <w:rsid w:val="00813C5C"/>
    <w:rsid w:val="00813F1A"/>
    <w:rsid w:val="00814379"/>
    <w:rsid w:val="008144EA"/>
    <w:rsid w:val="00814BD6"/>
    <w:rsid w:val="00814C9A"/>
    <w:rsid w:val="00814DA3"/>
    <w:rsid w:val="00815065"/>
    <w:rsid w:val="008151D1"/>
    <w:rsid w:val="008152C9"/>
    <w:rsid w:val="008153F0"/>
    <w:rsid w:val="00815410"/>
    <w:rsid w:val="00815B35"/>
    <w:rsid w:val="00815F21"/>
    <w:rsid w:val="008167D2"/>
    <w:rsid w:val="008169E8"/>
    <w:rsid w:val="00816A67"/>
    <w:rsid w:val="00817528"/>
    <w:rsid w:val="00817A62"/>
    <w:rsid w:val="00817B14"/>
    <w:rsid w:val="008201C2"/>
    <w:rsid w:val="008203F3"/>
    <w:rsid w:val="0082042C"/>
    <w:rsid w:val="00820676"/>
    <w:rsid w:val="0082093F"/>
    <w:rsid w:val="0082099D"/>
    <w:rsid w:val="008209B8"/>
    <w:rsid w:val="008209C4"/>
    <w:rsid w:val="00821255"/>
    <w:rsid w:val="00821285"/>
    <w:rsid w:val="00821311"/>
    <w:rsid w:val="00821835"/>
    <w:rsid w:val="00821A04"/>
    <w:rsid w:val="00821A83"/>
    <w:rsid w:val="008222A3"/>
    <w:rsid w:val="00822552"/>
    <w:rsid w:val="0082276A"/>
    <w:rsid w:val="008231CA"/>
    <w:rsid w:val="008240B0"/>
    <w:rsid w:val="00824132"/>
    <w:rsid w:val="0082420C"/>
    <w:rsid w:val="0082463D"/>
    <w:rsid w:val="008246FB"/>
    <w:rsid w:val="0082472F"/>
    <w:rsid w:val="00824ABE"/>
    <w:rsid w:val="00824B65"/>
    <w:rsid w:val="00824C53"/>
    <w:rsid w:val="00824D2A"/>
    <w:rsid w:val="00824F99"/>
    <w:rsid w:val="00825003"/>
    <w:rsid w:val="008267EF"/>
    <w:rsid w:val="00826E6B"/>
    <w:rsid w:val="00827002"/>
    <w:rsid w:val="008272A6"/>
    <w:rsid w:val="008279E6"/>
    <w:rsid w:val="00827F68"/>
    <w:rsid w:val="00830211"/>
    <w:rsid w:val="00830379"/>
    <w:rsid w:val="00830DBD"/>
    <w:rsid w:val="00830E69"/>
    <w:rsid w:val="008310D9"/>
    <w:rsid w:val="008314CB"/>
    <w:rsid w:val="008318A3"/>
    <w:rsid w:val="008319D8"/>
    <w:rsid w:val="008323FE"/>
    <w:rsid w:val="0083247C"/>
    <w:rsid w:val="0083297F"/>
    <w:rsid w:val="00832EF7"/>
    <w:rsid w:val="00833439"/>
    <w:rsid w:val="0083399F"/>
    <w:rsid w:val="00834639"/>
    <w:rsid w:val="008349A3"/>
    <w:rsid w:val="008349F9"/>
    <w:rsid w:val="00834AB2"/>
    <w:rsid w:val="00834AC0"/>
    <w:rsid w:val="00835180"/>
    <w:rsid w:val="0083592A"/>
    <w:rsid w:val="00835AD1"/>
    <w:rsid w:val="00835BEE"/>
    <w:rsid w:val="00835C9E"/>
    <w:rsid w:val="00835EFC"/>
    <w:rsid w:val="00835FD5"/>
    <w:rsid w:val="00836126"/>
    <w:rsid w:val="00836C03"/>
    <w:rsid w:val="00836C74"/>
    <w:rsid w:val="0083737F"/>
    <w:rsid w:val="00837AA5"/>
    <w:rsid w:val="0084009E"/>
    <w:rsid w:val="0084048C"/>
    <w:rsid w:val="0084078A"/>
    <w:rsid w:val="0084182C"/>
    <w:rsid w:val="00841A53"/>
    <w:rsid w:val="00842D4C"/>
    <w:rsid w:val="008432F4"/>
    <w:rsid w:val="00843584"/>
    <w:rsid w:val="008435C1"/>
    <w:rsid w:val="008436E7"/>
    <w:rsid w:val="0084379E"/>
    <w:rsid w:val="00843AD9"/>
    <w:rsid w:val="00843BF9"/>
    <w:rsid w:val="00844161"/>
    <w:rsid w:val="008445B9"/>
    <w:rsid w:val="008446E9"/>
    <w:rsid w:val="008447A6"/>
    <w:rsid w:val="00845467"/>
    <w:rsid w:val="008455F4"/>
    <w:rsid w:val="00845FA4"/>
    <w:rsid w:val="00846244"/>
    <w:rsid w:val="0084627F"/>
    <w:rsid w:val="008464F0"/>
    <w:rsid w:val="00846A26"/>
    <w:rsid w:val="00846AF9"/>
    <w:rsid w:val="00846BEB"/>
    <w:rsid w:val="00846DDF"/>
    <w:rsid w:val="00846FFB"/>
    <w:rsid w:val="00847A3A"/>
    <w:rsid w:val="00847AAA"/>
    <w:rsid w:val="00847B61"/>
    <w:rsid w:val="00847D73"/>
    <w:rsid w:val="0085052F"/>
    <w:rsid w:val="008505D7"/>
    <w:rsid w:val="0085067A"/>
    <w:rsid w:val="00850797"/>
    <w:rsid w:val="00850855"/>
    <w:rsid w:val="00850C44"/>
    <w:rsid w:val="00850CC2"/>
    <w:rsid w:val="0085161D"/>
    <w:rsid w:val="00851719"/>
    <w:rsid w:val="00851D2D"/>
    <w:rsid w:val="008529BD"/>
    <w:rsid w:val="00852D76"/>
    <w:rsid w:val="00852D90"/>
    <w:rsid w:val="00853B27"/>
    <w:rsid w:val="00853FC5"/>
    <w:rsid w:val="00854AA1"/>
    <w:rsid w:val="00854AA4"/>
    <w:rsid w:val="00854D47"/>
    <w:rsid w:val="00854FE9"/>
    <w:rsid w:val="00855302"/>
    <w:rsid w:val="008553D6"/>
    <w:rsid w:val="008558DA"/>
    <w:rsid w:val="00855AD5"/>
    <w:rsid w:val="00855EE5"/>
    <w:rsid w:val="00855EF1"/>
    <w:rsid w:val="00855F04"/>
    <w:rsid w:val="00855F8F"/>
    <w:rsid w:val="008562A0"/>
    <w:rsid w:val="00856323"/>
    <w:rsid w:val="0085660A"/>
    <w:rsid w:val="0085689F"/>
    <w:rsid w:val="00856FF7"/>
    <w:rsid w:val="0085703F"/>
    <w:rsid w:val="0085775F"/>
    <w:rsid w:val="008578CF"/>
    <w:rsid w:val="00857AA3"/>
    <w:rsid w:val="00857C6F"/>
    <w:rsid w:val="00857CA0"/>
    <w:rsid w:val="008602BA"/>
    <w:rsid w:val="00860553"/>
    <w:rsid w:val="00860689"/>
    <w:rsid w:val="00860C4C"/>
    <w:rsid w:val="00860D8C"/>
    <w:rsid w:val="00861169"/>
    <w:rsid w:val="008616D7"/>
    <w:rsid w:val="00861799"/>
    <w:rsid w:val="00861800"/>
    <w:rsid w:val="00861B34"/>
    <w:rsid w:val="00861D76"/>
    <w:rsid w:val="0086201D"/>
    <w:rsid w:val="00862A18"/>
    <w:rsid w:val="00862D38"/>
    <w:rsid w:val="00862DFA"/>
    <w:rsid w:val="00862E40"/>
    <w:rsid w:val="008632C0"/>
    <w:rsid w:val="008633B3"/>
    <w:rsid w:val="00863710"/>
    <w:rsid w:val="008637E8"/>
    <w:rsid w:val="00863944"/>
    <w:rsid w:val="00863AA0"/>
    <w:rsid w:val="00863C33"/>
    <w:rsid w:val="00863FFB"/>
    <w:rsid w:val="00864B8B"/>
    <w:rsid w:val="00864BFF"/>
    <w:rsid w:val="00865391"/>
    <w:rsid w:val="00865468"/>
    <w:rsid w:val="00865859"/>
    <w:rsid w:val="00865C7F"/>
    <w:rsid w:val="00865E37"/>
    <w:rsid w:val="00866A62"/>
    <w:rsid w:val="00866F1A"/>
    <w:rsid w:val="00866F67"/>
    <w:rsid w:val="0086702E"/>
    <w:rsid w:val="008670A9"/>
    <w:rsid w:val="0086762F"/>
    <w:rsid w:val="0086772C"/>
    <w:rsid w:val="008679CC"/>
    <w:rsid w:val="00867DEC"/>
    <w:rsid w:val="00867E45"/>
    <w:rsid w:val="008706DB"/>
    <w:rsid w:val="008707F2"/>
    <w:rsid w:val="008708C0"/>
    <w:rsid w:val="0087147A"/>
    <w:rsid w:val="0087169D"/>
    <w:rsid w:val="00871847"/>
    <w:rsid w:val="00871CDD"/>
    <w:rsid w:val="00871CE9"/>
    <w:rsid w:val="00871F84"/>
    <w:rsid w:val="00871FF5"/>
    <w:rsid w:val="008722C2"/>
    <w:rsid w:val="008722CE"/>
    <w:rsid w:val="008724AC"/>
    <w:rsid w:val="008727F0"/>
    <w:rsid w:val="00872994"/>
    <w:rsid w:val="0087319B"/>
    <w:rsid w:val="00873821"/>
    <w:rsid w:val="008738C8"/>
    <w:rsid w:val="00873CB8"/>
    <w:rsid w:val="00874022"/>
    <w:rsid w:val="00874C88"/>
    <w:rsid w:val="00874C92"/>
    <w:rsid w:val="00874DFD"/>
    <w:rsid w:val="00874FFB"/>
    <w:rsid w:val="0087541C"/>
    <w:rsid w:val="0087549F"/>
    <w:rsid w:val="008754A1"/>
    <w:rsid w:val="008758F2"/>
    <w:rsid w:val="00875C6C"/>
    <w:rsid w:val="00876049"/>
    <w:rsid w:val="00876084"/>
    <w:rsid w:val="0087611E"/>
    <w:rsid w:val="0087617D"/>
    <w:rsid w:val="00876303"/>
    <w:rsid w:val="00876478"/>
    <w:rsid w:val="00876890"/>
    <w:rsid w:val="00876891"/>
    <w:rsid w:val="00876A3E"/>
    <w:rsid w:val="008772BE"/>
    <w:rsid w:val="008778EC"/>
    <w:rsid w:val="00877AC2"/>
    <w:rsid w:val="00880642"/>
    <w:rsid w:val="00880868"/>
    <w:rsid w:val="008809E5"/>
    <w:rsid w:val="00880B98"/>
    <w:rsid w:val="00880C34"/>
    <w:rsid w:val="00880F6C"/>
    <w:rsid w:val="00881166"/>
    <w:rsid w:val="00881F33"/>
    <w:rsid w:val="00882736"/>
    <w:rsid w:val="00882E2E"/>
    <w:rsid w:val="00882F78"/>
    <w:rsid w:val="008831FA"/>
    <w:rsid w:val="00883201"/>
    <w:rsid w:val="0088329C"/>
    <w:rsid w:val="0088364E"/>
    <w:rsid w:val="00883B03"/>
    <w:rsid w:val="00883C25"/>
    <w:rsid w:val="00883DE4"/>
    <w:rsid w:val="00883EEA"/>
    <w:rsid w:val="008840CB"/>
    <w:rsid w:val="008841BE"/>
    <w:rsid w:val="00884374"/>
    <w:rsid w:val="008843AA"/>
    <w:rsid w:val="00884495"/>
    <w:rsid w:val="00884517"/>
    <w:rsid w:val="00884952"/>
    <w:rsid w:val="00884990"/>
    <w:rsid w:val="00884C9A"/>
    <w:rsid w:val="00884DE3"/>
    <w:rsid w:val="00884F15"/>
    <w:rsid w:val="00885141"/>
    <w:rsid w:val="008853F2"/>
    <w:rsid w:val="008857B3"/>
    <w:rsid w:val="00885AED"/>
    <w:rsid w:val="00885E2A"/>
    <w:rsid w:val="00885F1D"/>
    <w:rsid w:val="0088609C"/>
    <w:rsid w:val="008860F2"/>
    <w:rsid w:val="0088624D"/>
    <w:rsid w:val="008863FC"/>
    <w:rsid w:val="00887156"/>
    <w:rsid w:val="0088723B"/>
    <w:rsid w:val="00887497"/>
    <w:rsid w:val="008874D7"/>
    <w:rsid w:val="00887634"/>
    <w:rsid w:val="008878A6"/>
    <w:rsid w:val="00887A62"/>
    <w:rsid w:val="00887C75"/>
    <w:rsid w:val="00887F0D"/>
    <w:rsid w:val="008900B6"/>
    <w:rsid w:val="008901FD"/>
    <w:rsid w:val="00890687"/>
    <w:rsid w:val="00890712"/>
    <w:rsid w:val="0089092D"/>
    <w:rsid w:val="00890A97"/>
    <w:rsid w:val="00890E53"/>
    <w:rsid w:val="00891181"/>
    <w:rsid w:val="00891718"/>
    <w:rsid w:val="00891857"/>
    <w:rsid w:val="00891E17"/>
    <w:rsid w:val="0089294A"/>
    <w:rsid w:val="00892CB2"/>
    <w:rsid w:val="00892DB1"/>
    <w:rsid w:val="00892E9B"/>
    <w:rsid w:val="00892EB4"/>
    <w:rsid w:val="00892F4C"/>
    <w:rsid w:val="008933D1"/>
    <w:rsid w:val="0089349B"/>
    <w:rsid w:val="0089374F"/>
    <w:rsid w:val="00893DE9"/>
    <w:rsid w:val="0089410A"/>
    <w:rsid w:val="0089435F"/>
    <w:rsid w:val="008944D6"/>
    <w:rsid w:val="00894849"/>
    <w:rsid w:val="00894BAC"/>
    <w:rsid w:val="00894D56"/>
    <w:rsid w:val="008951A8"/>
    <w:rsid w:val="00895266"/>
    <w:rsid w:val="00895281"/>
    <w:rsid w:val="00895B37"/>
    <w:rsid w:val="0089602A"/>
    <w:rsid w:val="008968D7"/>
    <w:rsid w:val="00896DB2"/>
    <w:rsid w:val="00896E84"/>
    <w:rsid w:val="00896FDE"/>
    <w:rsid w:val="00897054"/>
    <w:rsid w:val="0089753F"/>
    <w:rsid w:val="00897590"/>
    <w:rsid w:val="008A0153"/>
    <w:rsid w:val="008A0437"/>
    <w:rsid w:val="008A0B77"/>
    <w:rsid w:val="008A0E21"/>
    <w:rsid w:val="008A11CC"/>
    <w:rsid w:val="008A13DA"/>
    <w:rsid w:val="008A1714"/>
    <w:rsid w:val="008A19F5"/>
    <w:rsid w:val="008A1EB8"/>
    <w:rsid w:val="008A1EED"/>
    <w:rsid w:val="008A2168"/>
    <w:rsid w:val="008A224A"/>
    <w:rsid w:val="008A2701"/>
    <w:rsid w:val="008A27B2"/>
    <w:rsid w:val="008A28AF"/>
    <w:rsid w:val="008A2CB4"/>
    <w:rsid w:val="008A30E0"/>
    <w:rsid w:val="008A3ADF"/>
    <w:rsid w:val="008A4577"/>
    <w:rsid w:val="008A4C71"/>
    <w:rsid w:val="008A5331"/>
    <w:rsid w:val="008A5E55"/>
    <w:rsid w:val="008A6263"/>
    <w:rsid w:val="008A62C8"/>
    <w:rsid w:val="008A63F6"/>
    <w:rsid w:val="008A6441"/>
    <w:rsid w:val="008A64E6"/>
    <w:rsid w:val="008A6BAB"/>
    <w:rsid w:val="008A7873"/>
    <w:rsid w:val="008A7C56"/>
    <w:rsid w:val="008A7DE5"/>
    <w:rsid w:val="008B03AE"/>
    <w:rsid w:val="008B0EA4"/>
    <w:rsid w:val="008B0F95"/>
    <w:rsid w:val="008B1B69"/>
    <w:rsid w:val="008B1ED0"/>
    <w:rsid w:val="008B264B"/>
    <w:rsid w:val="008B272E"/>
    <w:rsid w:val="008B2893"/>
    <w:rsid w:val="008B290E"/>
    <w:rsid w:val="008B2B0E"/>
    <w:rsid w:val="008B2EDB"/>
    <w:rsid w:val="008B3245"/>
    <w:rsid w:val="008B356B"/>
    <w:rsid w:val="008B3A5F"/>
    <w:rsid w:val="008B3D0A"/>
    <w:rsid w:val="008B401F"/>
    <w:rsid w:val="008B403B"/>
    <w:rsid w:val="008B42B2"/>
    <w:rsid w:val="008B45F7"/>
    <w:rsid w:val="008B464A"/>
    <w:rsid w:val="008B49E8"/>
    <w:rsid w:val="008B4E9B"/>
    <w:rsid w:val="008B504E"/>
    <w:rsid w:val="008B62FB"/>
    <w:rsid w:val="008B64A6"/>
    <w:rsid w:val="008B66F1"/>
    <w:rsid w:val="008B6712"/>
    <w:rsid w:val="008B6913"/>
    <w:rsid w:val="008B6932"/>
    <w:rsid w:val="008B6CC1"/>
    <w:rsid w:val="008B7051"/>
    <w:rsid w:val="008B713F"/>
    <w:rsid w:val="008B76A1"/>
    <w:rsid w:val="008B77F7"/>
    <w:rsid w:val="008B7B1D"/>
    <w:rsid w:val="008B7F87"/>
    <w:rsid w:val="008C01C9"/>
    <w:rsid w:val="008C0509"/>
    <w:rsid w:val="008C069E"/>
    <w:rsid w:val="008C07ED"/>
    <w:rsid w:val="008C10DA"/>
    <w:rsid w:val="008C13A4"/>
    <w:rsid w:val="008C22B2"/>
    <w:rsid w:val="008C23A2"/>
    <w:rsid w:val="008C3102"/>
    <w:rsid w:val="008C32B1"/>
    <w:rsid w:val="008C3631"/>
    <w:rsid w:val="008C38C0"/>
    <w:rsid w:val="008C3C74"/>
    <w:rsid w:val="008C3C7E"/>
    <w:rsid w:val="008C44DA"/>
    <w:rsid w:val="008C48B5"/>
    <w:rsid w:val="008C4D7E"/>
    <w:rsid w:val="008C5070"/>
    <w:rsid w:val="008C5317"/>
    <w:rsid w:val="008C5331"/>
    <w:rsid w:val="008C54D9"/>
    <w:rsid w:val="008C5BDA"/>
    <w:rsid w:val="008C5C72"/>
    <w:rsid w:val="008C5CF6"/>
    <w:rsid w:val="008C6760"/>
    <w:rsid w:val="008C698C"/>
    <w:rsid w:val="008C6ADA"/>
    <w:rsid w:val="008C7629"/>
    <w:rsid w:val="008C7A96"/>
    <w:rsid w:val="008D05D9"/>
    <w:rsid w:val="008D0890"/>
    <w:rsid w:val="008D0B4D"/>
    <w:rsid w:val="008D1AFD"/>
    <w:rsid w:val="008D1DC4"/>
    <w:rsid w:val="008D207A"/>
    <w:rsid w:val="008D2377"/>
    <w:rsid w:val="008D23C6"/>
    <w:rsid w:val="008D2C3F"/>
    <w:rsid w:val="008D30BB"/>
    <w:rsid w:val="008D31F1"/>
    <w:rsid w:val="008D3274"/>
    <w:rsid w:val="008D3567"/>
    <w:rsid w:val="008D35C3"/>
    <w:rsid w:val="008D36C2"/>
    <w:rsid w:val="008D37EE"/>
    <w:rsid w:val="008D382F"/>
    <w:rsid w:val="008D39CD"/>
    <w:rsid w:val="008D3AAB"/>
    <w:rsid w:val="008D3CC0"/>
    <w:rsid w:val="008D3DE1"/>
    <w:rsid w:val="008D3F73"/>
    <w:rsid w:val="008D4B86"/>
    <w:rsid w:val="008D4CD8"/>
    <w:rsid w:val="008D4D45"/>
    <w:rsid w:val="008D4F54"/>
    <w:rsid w:val="008D5061"/>
    <w:rsid w:val="008D56D3"/>
    <w:rsid w:val="008D5972"/>
    <w:rsid w:val="008D59F7"/>
    <w:rsid w:val="008D5A2D"/>
    <w:rsid w:val="008D5C6A"/>
    <w:rsid w:val="008D5D56"/>
    <w:rsid w:val="008D61B8"/>
    <w:rsid w:val="008D61EE"/>
    <w:rsid w:val="008D655A"/>
    <w:rsid w:val="008D66D7"/>
    <w:rsid w:val="008D69AD"/>
    <w:rsid w:val="008D6A7B"/>
    <w:rsid w:val="008D6B52"/>
    <w:rsid w:val="008D6E4B"/>
    <w:rsid w:val="008D6E9A"/>
    <w:rsid w:val="008D7109"/>
    <w:rsid w:val="008D71A2"/>
    <w:rsid w:val="008D7572"/>
    <w:rsid w:val="008D7641"/>
    <w:rsid w:val="008D7865"/>
    <w:rsid w:val="008D794E"/>
    <w:rsid w:val="008D799F"/>
    <w:rsid w:val="008D7C8E"/>
    <w:rsid w:val="008E0395"/>
    <w:rsid w:val="008E044E"/>
    <w:rsid w:val="008E06D0"/>
    <w:rsid w:val="008E0A84"/>
    <w:rsid w:val="008E0E52"/>
    <w:rsid w:val="008E0FB1"/>
    <w:rsid w:val="008E1130"/>
    <w:rsid w:val="008E1379"/>
    <w:rsid w:val="008E1511"/>
    <w:rsid w:val="008E1539"/>
    <w:rsid w:val="008E1C0A"/>
    <w:rsid w:val="008E1EDA"/>
    <w:rsid w:val="008E2080"/>
    <w:rsid w:val="008E2095"/>
    <w:rsid w:val="008E2428"/>
    <w:rsid w:val="008E2C29"/>
    <w:rsid w:val="008E312C"/>
    <w:rsid w:val="008E3533"/>
    <w:rsid w:val="008E35AB"/>
    <w:rsid w:val="008E381B"/>
    <w:rsid w:val="008E4056"/>
    <w:rsid w:val="008E4318"/>
    <w:rsid w:val="008E4558"/>
    <w:rsid w:val="008E4BF6"/>
    <w:rsid w:val="008E51F4"/>
    <w:rsid w:val="008E5C71"/>
    <w:rsid w:val="008E6129"/>
    <w:rsid w:val="008E6247"/>
    <w:rsid w:val="008E673F"/>
    <w:rsid w:val="008E6F8F"/>
    <w:rsid w:val="008E7231"/>
    <w:rsid w:val="008E742E"/>
    <w:rsid w:val="008E7590"/>
    <w:rsid w:val="008E7E67"/>
    <w:rsid w:val="008E7FF2"/>
    <w:rsid w:val="008F009E"/>
    <w:rsid w:val="008F040D"/>
    <w:rsid w:val="008F045B"/>
    <w:rsid w:val="008F05D8"/>
    <w:rsid w:val="008F0600"/>
    <w:rsid w:val="008F06A6"/>
    <w:rsid w:val="008F088C"/>
    <w:rsid w:val="008F0F5B"/>
    <w:rsid w:val="008F1103"/>
    <w:rsid w:val="008F1109"/>
    <w:rsid w:val="008F13B3"/>
    <w:rsid w:val="008F1531"/>
    <w:rsid w:val="008F188A"/>
    <w:rsid w:val="008F1ACD"/>
    <w:rsid w:val="008F23AF"/>
    <w:rsid w:val="008F2442"/>
    <w:rsid w:val="008F2CF2"/>
    <w:rsid w:val="008F2E34"/>
    <w:rsid w:val="008F2E41"/>
    <w:rsid w:val="008F2F94"/>
    <w:rsid w:val="008F30BF"/>
    <w:rsid w:val="008F33AA"/>
    <w:rsid w:val="008F38FD"/>
    <w:rsid w:val="008F3F43"/>
    <w:rsid w:val="008F455D"/>
    <w:rsid w:val="008F4980"/>
    <w:rsid w:val="008F510B"/>
    <w:rsid w:val="008F51BA"/>
    <w:rsid w:val="008F532F"/>
    <w:rsid w:val="008F5914"/>
    <w:rsid w:val="008F59AF"/>
    <w:rsid w:val="008F5EA6"/>
    <w:rsid w:val="008F5F27"/>
    <w:rsid w:val="008F6101"/>
    <w:rsid w:val="008F61B5"/>
    <w:rsid w:val="008F6897"/>
    <w:rsid w:val="008F6D8A"/>
    <w:rsid w:val="008F6E42"/>
    <w:rsid w:val="008F72E3"/>
    <w:rsid w:val="008F72E9"/>
    <w:rsid w:val="008F75F9"/>
    <w:rsid w:val="008F7C46"/>
    <w:rsid w:val="009000D4"/>
    <w:rsid w:val="0090023D"/>
    <w:rsid w:val="00900505"/>
    <w:rsid w:val="009005EE"/>
    <w:rsid w:val="00900663"/>
    <w:rsid w:val="00900BF5"/>
    <w:rsid w:val="00900F76"/>
    <w:rsid w:val="00900FED"/>
    <w:rsid w:val="009010BA"/>
    <w:rsid w:val="00901466"/>
    <w:rsid w:val="009016AF"/>
    <w:rsid w:val="009017BF"/>
    <w:rsid w:val="00901A00"/>
    <w:rsid w:val="00901B1D"/>
    <w:rsid w:val="00901BC6"/>
    <w:rsid w:val="0090225A"/>
    <w:rsid w:val="00902307"/>
    <w:rsid w:val="00902341"/>
    <w:rsid w:val="009023E9"/>
    <w:rsid w:val="009024A2"/>
    <w:rsid w:val="009026ED"/>
    <w:rsid w:val="00902AE3"/>
    <w:rsid w:val="00902E33"/>
    <w:rsid w:val="00902F18"/>
    <w:rsid w:val="009030CE"/>
    <w:rsid w:val="00903363"/>
    <w:rsid w:val="009037B5"/>
    <w:rsid w:val="00903D25"/>
    <w:rsid w:val="00903EC0"/>
    <w:rsid w:val="009046D1"/>
    <w:rsid w:val="009051A9"/>
    <w:rsid w:val="0090523D"/>
    <w:rsid w:val="0090579E"/>
    <w:rsid w:val="0090597C"/>
    <w:rsid w:val="00905DCA"/>
    <w:rsid w:val="00905E41"/>
    <w:rsid w:val="00905E63"/>
    <w:rsid w:val="00905F7D"/>
    <w:rsid w:val="00905FE6"/>
    <w:rsid w:val="00906016"/>
    <w:rsid w:val="00906591"/>
    <w:rsid w:val="00906A72"/>
    <w:rsid w:val="00906C06"/>
    <w:rsid w:val="00906EB7"/>
    <w:rsid w:val="00906FDA"/>
    <w:rsid w:val="0090780C"/>
    <w:rsid w:val="00907946"/>
    <w:rsid w:val="00907B5F"/>
    <w:rsid w:val="00907BC1"/>
    <w:rsid w:val="00907BE8"/>
    <w:rsid w:val="00907CBC"/>
    <w:rsid w:val="0091010B"/>
    <w:rsid w:val="009102DE"/>
    <w:rsid w:val="00910610"/>
    <w:rsid w:val="009107C2"/>
    <w:rsid w:val="00910A2C"/>
    <w:rsid w:val="00910DC9"/>
    <w:rsid w:val="00911040"/>
    <w:rsid w:val="009115EC"/>
    <w:rsid w:val="00911EB5"/>
    <w:rsid w:val="00912095"/>
    <w:rsid w:val="009120B8"/>
    <w:rsid w:val="00912569"/>
    <w:rsid w:val="00912BBC"/>
    <w:rsid w:val="00913064"/>
    <w:rsid w:val="009136DA"/>
    <w:rsid w:val="00913C22"/>
    <w:rsid w:val="00913CD7"/>
    <w:rsid w:val="00913FF8"/>
    <w:rsid w:val="0091417E"/>
    <w:rsid w:val="0091428C"/>
    <w:rsid w:val="0091469B"/>
    <w:rsid w:val="00914799"/>
    <w:rsid w:val="009148EE"/>
    <w:rsid w:val="00914A2D"/>
    <w:rsid w:val="00914DF3"/>
    <w:rsid w:val="0091532A"/>
    <w:rsid w:val="00915401"/>
    <w:rsid w:val="00915511"/>
    <w:rsid w:val="009155A4"/>
    <w:rsid w:val="00915959"/>
    <w:rsid w:val="009159CA"/>
    <w:rsid w:val="00915CAD"/>
    <w:rsid w:val="00915EF2"/>
    <w:rsid w:val="00916363"/>
    <w:rsid w:val="00916580"/>
    <w:rsid w:val="009165C8"/>
    <w:rsid w:val="009167A6"/>
    <w:rsid w:val="009168D9"/>
    <w:rsid w:val="009170B8"/>
    <w:rsid w:val="0091743F"/>
    <w:rsid w:val="00917A2C"/>
    <w:rsid w:val="00917F55"/>
    <w:rsid w:val="009205CD"/>
    <w:rsid w:val="00920AE6"/>
    <w:rsid w:val="00920B21"/>
    <w:rsid w:val="00920B63"/>
    <w:rsid w:val="009211CD"/>
    <w:rsid w:val="0092131F"/>
    <w:rsid w:val="00921502"/>
    <w:rsid w:val="00921695"/>
    <w:rsid w:val="00921BFD"/>
    <w:rsid w:val="00921CCE"/>
    <w:rsid w:val="00921D22"/>
    <w:rsid w:val="009221CC"/>
    <w:rsid w:val="00922293"/>
    <w:rsid w:val="0092237D"/>
    <w:rsid w:val="0092276F"/>
    <w:rsid w:val="00922B50"/>
    <w:rsid w:val="00922CA7"/>
    <w:rsid w:val="00922DE5"/>
    <w:rsid w:val="0092330C"/>
    <w:rsid w:val="009238DA"/>
    <w:rsid w:val="00923A48"/>
    <w:rsid w:val="00923B70"/>
    <w:rsid w:val="00923C16"/>
    <w:rsid w:val="00923CB0"/>
    <w:rsid w:val="00923D3A"/>
    <w:rsid w:val="0092405A"/>
    <w:rsid w:val="00924750"/>
    <w:rsid w:val="009247BF"/>
    <w:rsid w:val="009248F5"/>
    <w:rsid w:val="0092493D"/>
    <w:rsid w:val="00924C45"/>
    <w:rsid w:val="00924C69"/>
    <w:rsid w:val="00924CA8"/>
    <w:rsid w:val="00924D2C"/>
    <w:rsid w:val="00924DA5"/>
    <w:rsid w:val="00925501"/>
    <w:rsid w:val="0092563B"/>
    <w:rsid w:val="00925999"/>
    <w:rsid w:val="00925BBD"/>
    <w:rsid w:val="00925C27"/>
    <w:rsid w:val="009260F2"/>
    <w:rsid w:val="00926A1C"/>
    <w:rsid w:val="00926A4F"/>
    <w:rsid w:val="00926C53"/>
    <w:rsid w:val="00926CF6"/>
    <w:rsid w:val="00926D5A"/>
    <w:rsid w:val="00926D6D"/>
    <w:rsid w:val="00926EC6"/>
    <w:rsid w:val="00927490"/>
    <w:rsid w:val="009276D0"/>
    <w:rsid w:val="00927886"/>
    <w:rsid w:val="00927BFC"/>
    <w:rsid w:val="00927CED"/>
    <w:rsid w:val="009301A4"/>
    <w:rsid w:val="00930429"/>
    <w:rsid w:val="00930579"/>
    <w:rsid w:val="00930B4E"/>
    <w:rsid w:val="00930B8E"/>
    <w:rsid w:val="00930D55"/>
    <w:rsid w:val="00930DBE"/>
    <w:rsid w:val="00930DF0"/>
    <w:rsid w:val="00931353"/>
    <w:rsid w:val="009314A5"/>
    <w:rsid w:val="009314C8"/>
    <w:rsid w:val="009315D0"/>
    <w:rsid w:val="00931932"/>
    <w:rsid w:val="0093196F"/>
    <w:rsid w:val="00931B81"/>
    <w:rsid w:val="0093230B"/>
    <w:rsid w:val="00932638"/>
    <w:rsid w:val="00932822"/>
    <w:rsid w:val="00932873"/>
    <w:rsid w:val="00932A6B"/>
    <w:rsid w:val="00932C6B"/>
    <w:rsid w:val="00932CD1"/>
    <w:rsid w:val="009333B3"/>
    <w:rsid w:val="00933520"/>
    <w:rsid w:val="00933542"/>
    <w:rsid w:val="009339EC"/>
    <w:rsid w:val="00933B2F"/>
    <w:rsid w:val="00933B6C"/>
    <w:rsid w:val="00934019"/>
    <w:rsid w:val="009340B4"/>
    <w:rsid w:val="0093442B"/>
    <w:rsid w:val="00934575"/>
    <w:rsid w:val="009349B1"/>
    <w:rsid w:val="00934A82"/>
    <w:rsid w:val="00934D6C"/>
    <w:rsid w:val="009351CB"/>
    <w:rsid w:val="00935285"/>
    <w:rsid w:val="009355B9"/>
    <w:rsid w:val="009355DC"/>
    <w:rsid w:val="00935639"/>
    <w:rsid w:val="0093626B"/>
    <w:rsid w:val="00936571"/>
    <w:rsid w:val="00936BAC"/>
    <w:rsid w:val="00936E29"/>
    <w:rsid w:val="00936FC1"/>
    <w:rsid w:val="009371A0"/>
    <w:rsid w:val="0093763B"/>
    <w:rsid w:val="009379C5"/>
    <w:rsid w:val="00937F58"/>
    <w:rsid w:val="00940048"/>
    <w:rsid w:val="00940195"/>
    <w:rsid w:val="009401D3"/>
    <w:rsid w:val="00940474"/>
    <w:rsid w:val="00940589"/>
    <w:rsid w:val="0094137D"/>
    <w:rsid w:val="009416AD"/>
    <w:rsid w:val="009417C0"/>
    <w:rsid w:val="009417D0"/>
    <w:rsid w:val="00941E9A"/>
    <w:rsid w:val="009421AA"/>
    <w:rsid w:val="009428C1"/>
    <w:rsid w:val="009428CB"/>
    <w:rsid w:val="009428E7"/>
    <w:rsid w:val="0094347B"/>
    <w:rsid w:val="0094347F"/>
    <w:rsid w:val="00943C09"/>
    <w:rsid w:val="00944444"/>
    <w:rsid w:val="00944623"/>
    <w:rsid w:val="0094476A"/>
    <w:rsid w:val="00944772"/>
    <w:rsid w:val="00945279"/>
    <w:rsid w:val="00945424"/>
    <w:rsid w:val="00945517"/>
    <w:rsid w:val="0094552F"/>
    <w:rsid w:val="00945D58"/>
    <w:rsid w:val="00945EB9"/>
    <w:rsid w:val="00946C5A"/>
    <w:rsid w:val="00946E47"/>
    <w:rsid w:val="009470D1"/>
    <w:rsid w:val="0094732D"/>
    <w:rsid w:val="00947542"/>
    <w:rsid w:val="00947589"/>
    <w:rsid w:val="0094767C"/>
    <w:rsid w:val="009476C1"/>
    <w:rsid w:val="00947AE4"/>
    <w:rsid w:val="00947CE3"/>
    <w:rsid w:val="00947D28"/>
    <w:rsid w:val="00950813"/>
    <w:rsid w:val="00950D63"/>
    <w:rsid w:val="00951853"/>
    <w:rsid w:val="00951E7A"/>
    <w:rsid w:val="00952396"/>
    <w:rsid w:val="009526C6"/>
    <w:rsid w:val="00952AEA"/>
    <w:rsid w:val="00952B93"/>
    <w:rsid w:val="00952D75"/>
    <w:rsid w:val="00952DF5"/>
    <w:rsid w:val="00952EAF"/>
    <w:rsid w:val="00952F85"/>
    <w:rsid w:val="009536E5"/>
    <w:rsid w:val="00953893"/>
    <w:rsid w:val="00953A54"/>
    <w:rsid w:val="00954446"/>
    <w:rsid w:val="0095447C"/>
    <w:rsid w:val="00954718"/>
    <w:rsid w:val="00954F65"/>
    <w:rsid w:val="00954FF5"/>
    <w:rsid w:val="00955051"/>
    <w:rsid w:val="00955635"/>
    <w:rsid w:val="00955659"/>
    <w:rsid w:val="00955690"/>
    <w:rsid w:val="009558D6"/>
    <w:rsid w:val="00955BA8"/>
    <w:rsid w:val="00956A50"/>
    <w:rsid w:val="00956A61"/>
    <w:rsid w:val="00956A74"/>
    <w:rsid w:val="00956B18"/>
    <w:rsid w:val="00956B1E"/>
    <w:rsid w:val="00956C21"/>
    <w:rsid w:val="00956ECF"/>
    <w:rsid w:val="009576CD"/>
    <w:rsid w:val="00957869"/>
    <w:rsid w:val="00960A12"/>
    <w:rsid w:val="00960BC2"/>
    <w:rsid w:val="00960BEB"/>
    <w:rsid w:val="00960C73"/>
    <w:rsid w:val="00960FD8"/>
    <w:rsid w:val="009616E5"/>
    <w:rsid w:val="009618DC"/>
    <w:rsid w:val="0096199C"/>
    <w:rsid w:val="009628CF"/>
    <w:rsid w:val="00962B3B"/>
    <w:rsid w:val="0096307C"/>
    <w:rsid w:val="009633CD"/>
    <w:rsid w:val="0096346D"/>
    <w:rsid w:val="00963EC5"/>
    <w:rsid w:val="009642A8"/>
    <w:rsid w:val="0096451C"/>
    <w:rsid w:val="0096453D"/>
    <w:rsid w:val="00964583"/>
    <w:rsid w:val="00964697"/>
    <w:rsid w:val="00965601"/>
    <w:rsid w:val="009656C5"/>
    <w:rsid w:val="00965DC9"/>
    <w:rsid w:val="00966431"/>
    <w:rsid w:val="009670F9"/>
    <w:rsid w:val="00967A57"/>
    <w:rsid w:val="00967DF8"/>
    <w:rsid w:val="00970040"/>
    <w:rsid w:val="009703D5"/>
    <w:rsid w:val="00970812"/>
    <w:rsid w:val="00970BDC"/>
    <w:rsid w:val="00970CE1"/>
    <w:rsid w:val="00970EBC"/>
    <w:rsid w:val="009710DC"/>
    <w:rsid w:val="0097133E"/>
    <w:rsid w:val="009717D8"/>
    <w:rsid w:val="00971980"/>
    <w:rsid w:val="00971A97"/>
    <w:rsid w:val="00971C81"/>
    <w:rsid w:val="00971DBA"/>
    <w:rsid w:val="00971E4A"/>
    <w:rsid w:val="00971F5E"/>
    <w:rsid w:val="00972BDF"/>
    <w:rsid w:val="00973219"/>
    <w:rsid w:val="009732B1"/>
    <w:rsid w:val="00973CE5"/>
    <w:rsid w:val="00974058"/>
    <w:rsid w:val="00974B18"/>
    <w:rsid w:val="00974B5A"/>
    <w:rsid w:val="00975224"/>
    <w:rsid w:val="009752B4"/>
    <w:rsid w:val="00975883"/>
    <w:rsid w:val="00975FB6"/>
    <w:rsid w:val="00976066"/>
    <w:rsid w:val="00976080"/>
    <w:rsid w:val="00976678"/>
    <w:rsid w:val="0097683F"/>
    <w:rsid w:val="0097697C"/>
    <w:rsid w:val="009769C3"/>
    <w:rsid w:val="00976B2D"/>
    <w:rsid w:val="00976DAF"/>
    <w:rsid w:val="00977C76"/>
    <w:rsid w:val="00977CBE"/>
    <w:rsid w:val="00977FC8"/>
    <w:rsid w:val="00980212"/>
    <w:rsid w:val="009804A8"/>
    <w:rsid w:val="00980506"/>
    <w:rsid w:val="0098076D"/>
    <w:rsid w:val="00980BF8"/>
    <w:rsid w:val="00980F46"/>
    <w:rsid w:val="009818F6"/>
    <w:rsid w:val="00981919"/>
    <w:rsid w:val="00981E6F"/>
    <w:rsid w:val="009820A3"/>
    <w:rsid w:val="0098211B"/>
    <w:rsid w:val="009828ED"/>
    <w:rsid w:val="00982A53"/>
    <w:rsid w:val="00982A59"/>
    <w:rsid w:val="00982B6C"/>
    <w:rsid w:val="009832C4"/>
    <w:rsid w:val="009833C7"/>
    <w:rsid w:val="009835F2"/>
    <w:rsid w:val="00983671"/>
    <w:rsid w:val="0098369E"/>
    <w:rsid w:val="00983CD3"/>
    <w:rsid w:val="00983E25"/>
    <w:rsid w:val="00983E69"/>
    <w:rsid w:val="00983EAA"/>
    <w:rsid w:val="00984336"/>
    <w:rsid w:val="0098442B"/>
    <w:rsid w:val="0098461B"/>
    <w:rsid w:val="00984927"/>
    <w:rsid w:val="00984F62"/>
    <w:rsid w:val="009856A0"/>
    <w:rsid w:val="0098574A"/>
    <w:rsid w:val="009857C7"/>
    <w:rsid w:val="00985872"/>
    <w:rsid w:val="009858A3"/>
    <w:rsid w:val="00985DC6"/>
    <w:rsid w:val="0098654C"/>
    <w:rsid w:val="00986F77"/>
    <w:rsid w:val="00986FE0"/>
    <w:rsid w:val="0098716E"/>
    <w:rsid w:val="009872F9"/>
    <w:rsid w:val="00987625"/>
    <w:rsid w:val="00987C11"/>
    <w:rsid w:val="00987DC6"/>
    <w:rsid w:val="00990976"/>
    <w:rsid w:val="00990A6B"/>
    <w:rsid w:val="00990BAD"/>
    <w:rsid w:val="00990C07"/>
    <w:rsid w:val="00990D08"/>
    <w:rsid w:val="00990E48"/>
    <w:rsid w:val="00990F30"/>
    <w:rsid w:val="00990FE1"/>
    <w:rsid w:val="00990FEC"/>
    <w:rsid w:val="009912F9"/>
    <w:rsid w:val="00991462"/>
    <w:rsid w:val="009915D4"/>
    <w:rsid w:val="0099175F"/>
    <w:rsid w:val="009917E1"/>
    <w:rsid w:val="00991C35"/>
    <w:rsid w:val="00991F55"/>
    <w:rsid w:val="009924FC"/>
    <w:rsid w:val="00992913"/>
    <w:rsid w:val="00992959"/>
    <w:rsid w:val="00992B23"/>
    <w:rsid w:val="00992D24"/>
    <w:rsid w:val="00992E8E"/>
    <w:rsid w:val="00992FAB"/>
    <w:rsid w:val="00993AB5"/>
    <w:rsid w:val="00995180"/>
    <w:rsid w:val="009960AE"/>
    <w:rsid w:val="0099613B"/>
    <w:rsid w:val="009966E1"/>
    <w:rsid w:val="00996C89"/>
    <w:rsid w:val="00996DED"/>
    <w:rsid w:val="0099731F"/>
    <w:rsid w:val="00997610"/>
    <w:rsid w:val="00997A3A"/>
    <w:rsid w:val="009A055F"/>
    <w:rsid w:val="009A0750"/>
    <w:rsid w:val="009A0C13"/>
    <w:rsid w:val="009A0CDA"/>
    <w:rsid w:val="009A1551"/>
    <w:rsid w:val="009A1698"/>
    <w:rsid w:val="009A172D"/>
    <w:rsid w:val="009A18D7"/>
    <w:rsid w:val="009A1ADF"/>
    <w:rsid w:val="009A1CA4"/>
    <w:rsid w:val="009A1DA7"/>
    <w:rsid w:val="009A1FBE"/>
    <w:rsid w:val="009A2732"/>
    <w:rsid w:val="009A2A73"/>
    <w:rsid w:val="009A373F"/>
    <w:rsid w:val="009A42F0"/>
    <w:rsid w:val="009A43D3"/>
    <w:rsid w:val="009A4601"/>
    <w:rsid w:val="009A4651"/>
    <w:rsid w:val="009A48D6"/>
    <w:rsid w:val="009A49A2"/>
    <w:rsid w:val="009A4C42"/>
    <w:rsid w:val="009A4D02"/>
    <w:rsid w:val="009A5305"/>
    <w:rsid w:val="009A5360"/>
    <w:rsid w:val="009A59C2"/>
    <w:rsid w:val="009A5B72"/>
    <w:rsid w:val="009A5CB7"/>
    <w:rsid w:val="009A5F5C"/>
    <w:rsid w:val="009A5F68"/>
    <w:rsid w:val="009A62C4"/>
    <w:rsid w:val="009A6824"/>
    <w:rsid w:val="009A7536"/>
    <w:rsid w:val="009A75D6"/>
    <w:rsid w:val="009A76EF"/>
    <w:rsid w:val="009A7B85"/>
    <w:rsid w:val="009A7F26"/>
    <w:rsid w:val="009B0627"/>
    <w:rsid w:val="009B08BF"/>
    <w:rsid w:val="009B08EE"/>
    <w:rsid w:val="009B0BE2"/>
    <w:rsid w:val="009B0C75"/>
    <w:rsid w:val="009B1343"/>
    <w:rsid w:val="009B138A"/>
    <w:rsid w:val="009B167F"/>
    <w:rsid w:val="009B1759"/>
    <w:rsid w:val="009B17EC"/>
    <w:rsid w:val="009B19BD"/>
    <w:rsid w:val="009B204C"/>
    <w:rsid w:val="009B2757"/>
    <w:rsid w:val="009B2851"/>
    <w:rsid w:val="009B2C30"/>
    <w:rsid w:val="009B2DD8"/>
    <w:rsid w:val="009B2F9A"/>
    <w:rsid w:val="009B40D9"/>
    <w:rsid w:val="009B422B"/>
    <w:rsid w:val="009B4740"/>
    <w:rsid w:val="009B48FB"/>
    <w:rsid w:val="009B49AD"/>
    <w:rsid w:val="009B4D50"/>
    <w:rsid w:val="009B4F55"/>
    <w:rsid w:val="009B4F61"/>
    <w:rsid w:val="009B58D1"/>
    <w:rsid w:val="009B59B0"/>
    <w:rsid w:val="009B5D1A"/>
    <w:rsid w:val="009B628F"/>
    <w:rsid w:val="009B6292"/>
    <w:rsid w:val="009B64EF"/>
    <w:rsid w:val="009B6573"/>
    <w:rsid w:val="009B660A"/>
    <w:rsid w:val="009B68A4"/>
    <w:rsid w:val="009B6EEE"/>
    <w:rsid w:val="009B7169"/>
    <w:rsid w:val="009B729F"/>
    <w:rsid w:val="009B72D2"/>
    <w:rsid w:val="009B73DC"/>
    <w:rsid w:val="009B7794"/>
    <w:rsid w:val="009B7D43"/>
    <w:rsid w:val="009C00C0"/>
    <w:rsid w:val="009C00D9"/>
    <w:rsid w:val="009C04FC"/>
    <w:rsid w:val="009C0981"/>
    <w:rsid w:val="009C09BC"/>
    <w:rsid w:val="009C1668"/>
    <w:rsid w:val="009C1886"/>
    <w:rsid w:val="009C1C2C"/>
    <w:rsid w:val="009C1FE0"/>
    <w:rsid w:val="009C24E5"/>
    <w:rsid w:val="009C2720"/>
    <w:rsid w:val="009C2D78"/>
    <w:rsid w:val="009C31BA"/>
    <w:rsid w:val="009C31C0"/>
    <w:rsid w:val="009C3935"/>
    <w:rsid w:val="009C4176"/>
    <w:rsid w:val="009C4C9C"/>
    <w:rsid w:val="009C4CC8"/>
    <w:rsid w:val="009C4CFD"/>
    <w:rsid w:val="009C52B7"/>
    <w:rsid w:val="009C5AFA"/>
    <w:rsid w:val="009C5B04"/>
    <w:rsid w:val="009C5C71"/>
    <w:rsid w:val="009C5DCE"/>
    <w:rsid w:val="009C5EB9"/>
    <w:rsid w:val="009C6322"/>
    <w:rsid w:val="009C6595"/>
    <w:rsid w:val="009C67FD"/>
    <w:rsid w:val="009C6BA1"/>
    <w:rsid w:val="009C722F"/>
    <w:rsid w:val="009C75C0"/>
    <w:rsid w:val="009C760D"/>
    <w:rsid w:val="009C769F"/>
    <w:rsid w:val="009C7811"/>
    <w:rsid w:val="009C7D4F"/>
    <w:rsid w:val="009C7D62"/>
    <w:rsid w:val="009C7F21"/>
    <w:rsid w:val="009C7F7C"/>
    <w:rsid w:val="009D09E5"/>
    <w:rsid w:val="009D12C6"/>
    <w:rsid w:val="009D15EC"/>
    <w:rsid w:val="009D1AB9"/>
    <w:rsid w:val="009D26D8"/>
    <w:rsid w:val="009D27D6"/>
    <w:rsid w:val="009D2D1C"/>
    <w:rsid w:val="009D3145"/>
    <w:rsid w:val="009D3231"/>
    <w:rsid w:val="009D33C7"/>
    <w:rsid w:val="009D3489"/>
    <w:rsid w:val="009D3E19"/>
    <w:rsid w:val="009D4216"/>
    <w:rsid w:val="009D44C8"/>
    <w:rsid w:val="009D45CA"/>
    <w:rsid w:val="009D5378"/>
    <w:rsid w:val="009D5AEE"/>
    <w:rsid w:val="009D5BBA"/>
    <w:rsid w:val="009D5DA2"/>
    <w:rsid w:val="009D62E0"/>
    <w:rsid w:val="009D62E8"/>
    <w:rsid w:val="009D6480"/>
    <w:rsid w:val="009D64EA"/>
    <w:rsid w:val="009D6CCC"/>
    <w:rsid w:val="009D6D79"/>
    <w:rsid w:val="009D7624"/>
    <w:rsid w:val="009D7654"/>
    <w:rsid w:val="009D77A4"/>
    <w:rsid w:val="009D7B16"/>
    <w:rsid w:val="009E0420"/>
    <w:rsid w:val="009E04E2"/>
    <w:rsid w:val="009E0656"/>
    <w:rsid w:val="009E0980"/>
    <w:rsid w:val="009E09BD"/>
    <w:rsid w:val="009E0B89"/>
    <w:rsid w:val="009E0FAF"/>
    <w:rsid w:val="009E14D0"/>
    <w:rsid w:val="009E25E7"/>
    <w:rsid w:val="009E2679"/>
    <w:rsid w:val="009E274F"/>
    <w:rsid w:val="009E27F4"/>
    <w:rsid w:val="009E2CB1"/>
    <w:rsid w:val="009E3797"/>
    <w:rsid w:val="009E3AAD"/>
    <w:rsid w:val="009E3E2E"/>
    <w:rsid w:val="009E3EB0"/>
    <w:rsid w:val="009E429A"/>
    <w:rsid w:val="009E42CF"/>
    <w:rsid w:val="009E43CE"/>
    <w:rsid w:val="009E455F"/>
    <w:rsid w:val="009E467F"/>
    <w:rsid w:val="009E4B0B"/>
    <w:rsid w:val="009E501E"/>
    <w:rsid w:val="009E54BF"/>
    <w:rsid w:val="009E552F"/>
    <w:rsid w:val="009E5544"/>
    <w:rsid w:val="009E557B"/>
    <w:rsid w:val="009E55A0"/>
    <w:rsid w:val="009E55FB"/>
    <w:rsid w:val="009E5FE9"/>
    <w:rsid w:val="009E6334"/>
    <w:rsid w:val="009E6DDC"/>
    <w:rsid w:val="009E7198"/>
    <w:rsid w:val="009E76BC"/>
    <w:rsid w:val="009F0416"/>
    <w:rsid w:val="009F04B5"/>
    <w:rsid w:val="009F08C1"/>
    <w:rsid w:val="009F1107"/>
    <w:rsid w:val="009F1328"/>
    <w:rsid w:val="009F1385"/>
    <w:rsid w:val="009F15D5"/>
    <w:rsid w:val="009F1E72"/>
    <w:rsid w:val="009F230A"/>
    <w:rsid w:val="009F244A"/>
    <w:rsid w:val="009F3311"/>
    <w:rsid w:val="009F35D5"/>
    <w:rsid w:val="009F3702"/>
    <w:rsid w:val="009F3796"/>
    <w:rsid w:val="009F39DC"/>
    <w:rsid w:val="009F3A22"/>
    <w:rsid w:val="009F3D4E"/>
    <w:rsid w:val="009F40FF"/>
    <w:rsid w:val="009F42DB"/>
    <w:rsid w:val="009F4335"/>
    <w:rsid w:val="009F47D0"/>
    <w:rsid w:val="009F4A33"/>
    <w:rsid w:val="009F55FC"/>
    <w:rsid w:val="009F570C"/>
    <w:rsid w:val="009F603A"/>
    <w:rsid w:val="009F63BA"/>
    <w:rsid w:val="009F6523"/>
    <w:rsid w:val="009F6649"/>
    <w:rsid w:val="009F6932"/>
    <w:rsid w:val="009F69ED"/>
    <w:rsid w:val="009F6B67"/>
    <w:rsid w:val="009F708B"/>
    <w:rsid w:val="009F7216"/>
    <w:rsid w:val="009F7497"/>
    <w:rsid w:val="009F7713"/>
    <w:rsid w:val="00A00189"/>
    <w:rsid w:val="00A00285"/>
    <w:rsid w:val="00A00386"/>
    <w:rsid w:val="00A00B99"/>
    <w:rsid w:val="00A00D91"/>
    <w:rsid w:val="00A00DD6"/>
    <w:rsid w:val="00A00E73"/>
    <w:rsid w:val="00A01429"/>
    <w:rsid w:val="00A0173E"/>
    <w:rsid w:val="00A01A6A"/>
    <w:rsid w:val="00A01A78"/>
    <w:rsid w:val="00A01D99"/>
    <w:rsid w:val="00A0217E"/>
    <w:rsid w:val="00A02209"/>
    <w:rsid w:val="00A0247D"/>
    <w:rsid w:val="00A027AF"/>
    <w:rsid w:val="00A02815"/>
    <w:rsid w:val="00A02891"/>
    <w:rsid w:val="00A028CB"/>
    <w:rsid w:val="00A0291D"/>
    <w:rsid w:val="00A029A5"/>
    <w:rsid w:val="00A0365B"/>
    <w:rsid w:val="00A038D6"/>
    <w:rsid w:val="00A038E7"/>
    <w:rsid w:val="00A03A84"/>
    <w:rsid w:val="00A04069"/>
    <w:rsid w:val="00A0491C"/>
    <w:rsid w:val="00A04F5A"/>
    <w:rsid w:val="00A04F78"/>
    <w:rsid w:val="00A05510"/>
    <w:rsid w:val="00A05543"/>
    <w:rsid w:val="00A055BF"/>
    <w:rsid w:val="00A05CA3"/>
    <w:rsid w:val="00A05E47"/>
    <w:rsid w:val="00A060CE"/>
    <w:rsid w:val="00A066C6"/>
    <w:rsid w:val="00A0728D"/>
    <w:rsid w:val="00A073AC"/>
    <w:rsid w:val="00A07416"/>
    <w:rsid w:val="00A07530"/>
    <w:rsid w:val="00A0758F"/>
    <w:rsid w:val="00A102EE"/>
    <w:rsid w:val="00A10D63"/>
    <w:rsid w:val="00A116E1"/>
    <w:rsid w:val="00A117D9"/>
    <w:rsid w:val="00A11ADE"/>
    <w:rsid w:val="00A120F4"/>
    <w:rsid w:val="00A1219C"/>
    <w:rsid w:val="00A126CD"/>
    <w:rsid w:val="00A12AA6"/>
    <w:rsid w:val="00A12AE9"/>
    <w:rsid w:val="00A12F05"/>
    <w:rsid w:val="00A138BF"/>
    <w:rsid w:val="00A13972"/>
    <w:rsid w:val="00A13B92"/>
    <w:rsid w:val="00A13D5A"/>
    <w:rsid w:val="00A13DF3"/>
    <w:rsid w:val="00A13E30"/>
    <w:rsid w:val="00A14495"/>
    <w:rsid w:val="00A147F1"/>
    <w:rsid w:val="00A14C9F"/>
    <w:rsid w:val="00A14E3E"/>
    <w:rsid w:val="00A150B9"/>
    <w:rsid w:val="00A157AE"/>
    <w:rsid w:val="00A15A19"/>
    <w:rsid w:val="00A16647"/>
    <w:rsid w:val="00A16911"/>
    <w:rsid w:val="00A16AE1"/>
    <w:rsid w:val="00A17013"/>
    <w:rsid w:val="00A170D3"/>
    <w:rsid w:val="00A1737D"/>
    <w:rsid w:val="00A179C1"/>
    <w:rsid w:val="00A17CE5"/>
    <w:rsid w:val="00A2032F"/>
    <w:rsid w:val="00A20617"/>
    <w:rsid w:val="00A20D28"/>
    <w:rsid w:val="00A20E7E"/>
    <w:rsid w:val="00A20FB3"/>
    <w:rsid w:val="00A21046"/>
    <w:rsid w:val="00A21850"/>
    <w:rsid w:val="00A21907"/>
    <w:rsid w:val="00A21BE5"/>
    <w:rsid w:val="00A21EEF"/>
    <w:rsid w:val="00A21F16"/>
    <w:rsid w:val="00A2240D"/>
    <w:rsid w:val="00A227CF"/>
    <w:rsid w:val="00A22865"/>
    <w:rsid w:val="00A22B40"/>
    <w:rsid w:val="00A22F3B"/>
    <w:rsid w:val="00A22F45"/>
    <w:rsid w:val="00A235BD"/>
    <w:rsid w:val="00A2389E"/>
    <w:rsid w:val="00A23D27"/>
    <w:rsid w:val="00A23EB5"/>
    <w:rsid w:val="00A243AD"/>
    <w:rsid w:val="00A24673"/>
    <w:rsid w:val="00A248FC"/>
    <w:rsid w:val="00A24EF0"/>
    <w:rsid w:val="00A24EF6"/>
    <w:rsid w:val="00A25AE9"/>
    <w:rsid w:val="00A2621E"/>
    <w:rsid w:val="00A26BCA"/>
    <w:rsid w:val="00A26E70"/>
    <w:rsid w:val="00A26E81"/>
    <w:rsid w:val="00A2732D"/>
    <w:rsid w:val="00A276B7"/>
    <w:rsid w:val="00A277BD"/>
    <w:rsid w:val="00A2794D"/>
    <w:rsid w:val="00A27A6E"/>
    <w:rsid w:val="00A27B92"/>
    <w:rsid w:val="00A302FE"/>
    <w:rsid w:val="00A3037E"/>
    <w:rsid w:val="00A30A96"/>
    <w:rsid w:val="00A30C97"/>
    <w:rsid w:val="00A30EDB"/>
    <w:rsid w:val="00A310A7"/>
    <w:rsid w:val="00A31110"/>
    <w:rsid w:val="00A31423"/>
    <w:rsid w:val="00A314C8"/>
    <w:rsid w:val="00A31502"/>
    <w:rsid w:val="00A31650"/>
    <w:rsid w:val="00A318C9"/>
    <w:rsid w:val="00A32163"/>
    <w:rsid w:val="00A321A2"/>
    <w:rsid w:val="00A329C9"/>
    <w:rsid w:val="00A32D76"/>
    <w:rsid w:val="00A330D8"/>
    <w:rsid w:val="00A33226"/>
    <w:rsid w:val="00A333D4"/>
    <w:rsid w:val="00A33619"/>
    <w:rsid w:val="00A338BD"/>
    <w:rsid w:val="00A33A1E"/>
    <w:rsid w:val="00A33B09"/>
    <w:rsid w:val="00A341F8"/>
    <w:rsid w:val="00A34CA6"/>
    <w:rsid w:val="00A35285"/>
    <w:rsid w:val="00A3533A"/>
    <w:rsid w:val="00A3551B"/>
    <w:rsid w:val="00A3556E"/>
    <w:rsid w:val="00A35CB0"/>
    <w:rsid w:val="00A35DAF"/>
    <w:rsid w:val="00A361DD"/>
    <w:rsid w:val="00A36564"/>
    <w:rsid w:val="00A36601"/>
    <w:rsid w:val="00A3680C"/>
    <w:rsid w:val="00A368EC"/>
    <w:rsid w:val="00A36D0C"/>
    <w:rsid w:val="00A36FC4"/>
    <w:rsid w:val="00A37083"/>
    <w:rsid w:val="00A37836"/>
    <w:rsid w:val="00A37889"/>
    <w:rsid w:val="00A379A8"/>
    <w:rsid w:val="00A37E38"/>
    <w:rsid w:val="00A40E1A"/>
    <w:rsid w:val="00A40F97"/>
    <w:rsid w:val="00A415D4"/>
    <w:rsid w:val="00A41882"/>
    <w:rsid w:val="00A418DA"/>
    <w:rsid w:val="00A41984"/>
    <w:rsid w:val="00A42271"/>
    <w:rsid w:val="00A4284A"/>
    <w:rsid w:val="00A429AA"/>
    <w:rsid w:val="00A42AF1"/>
    <w:rsid w:val="00A42F6C"/>
    <w:rsid w:val="00A43127"/>
    <w:rsid w:val="00A431F8"/>
    <w:rsid w:val="00A43200"/>
    <w:rsid w:val="00A43F03"/>
    <w:rsid w:val="00A43F07"/>
    <w:rsid w:val="00A4431D"/>
    <w:rsid w:val="00A44540"/>
    <w:rsid w:val="00A451C6"/>
    <w:rsid w:val="00A45776"/>
    <w:rsid w:val="00A45A22"/>
    <w:rsid w:val="00A45EBD"/>
    <w:rsid w:val="00A46200"/>
    <w:rsid w:val="00A46C7D"/>
    <w:rsid w:val="00A46CA0"/>
    <w:rsid w:val="00A4718F"/>
    <w:rsid w:val="00A471D7"/>
    <w:rsid w:val="00A4745D"/>
    <w:rsid w:val="00A478D7"/>
    <w:rsid w:val="00A47D38"/>
    <w:rsid w:val="00A47F0F"/>
    <w:rsid w:val="00A47F10"/>
    <w:rsid w:val="00A50607"/>
    <w:rsid w:val="00A5080A"/>
    <w:rsid w:val="00A50898"/>
    <w:rsid w:val="00A50A2C"/>
    <w:rsid w:val="00A50C54"/>
    <w:rsid w:val="00A5161B"/>
    <w:rsid w:val="00A51BFF"/>
    <w:rsid w:val="00A51D95"/>
    <w:rsid w:val="00A51F3F"/>
    <w:rsid w:val="00A520E1"/>
    <w:rsid w:val="00A52365"/>
    <w:rsid w:val="00A52AB5"/>
    <w:rsid w:val="00A52DD9"/>
    <w:rsid w:val="00A5416F"/>
    <w:rsid w:val="00A54576"/>
    <w:rsid w:val="00A545ED"/>
    <w:rsid w:val="00A54969"/>
    <w:rsid w:val="00A54B90"/>
    <w:rsid w:val="00A54C66"/>
    <w:rsid w:val="00A54E1A"/>
    <w:rsid w:val="00A5548F"/>
    <w:rsid w:val="00A55648"/>
    <w:rsid w:val="00A55AB3"/>
    <w:rsid w:val="00A55C0E"/>
    <w:rsid w:val="00A5606A"/>
    <w:rsid w:val="00A561EB"/>
    <w:rsid w:val="00A567AE"/>
    <w:rsid w:val="00A56DCF"/>
    <w:rsid w:val="00A56F5C"/>
    <w:rsid w:val="00A57136"/>
    <w:rsid w:val="00A57C83"/>
    <w:rsid w:val="00A57D24"/>
    <w:rsid w:val="00A60799"/>
    <w:rsid w:val="00A60974"/>
    <w:rsid w:val="00A60AAA"/>
    <w:rsid w:val="00A60B02"/>
    <w:rsid w:val="00A60B3A"/>
    <w:rsid w:val="00A60CE1"/>
    <w:rsid w:val="00A6113B"/>
    <w:rsid w:val="00A61353"/>
    <w:rsid w:val="00A61799"/>
    <w:rsid w:val="00A6196E"/>
    <w:rsid w:val="00A61A34"/>
    <w:rsid w:val="00A61B41"/>
    <w:rsid w:val="00A61E45"/>
    <w:rsid w:val="00A61EF1"/>
    <w:rsid w:val="00A61F41"/>
    <w:rsid w:val="00A626B0"/>
    <w:rsid w:val="00A62BF6"/>
    <w:rsid w:val="00A62E3E"/>
    <w:rsid w:val="00A63193"/>
    <w:rsid w:val="00A632B9"/>
    <w:rsid w:val="00A63EAA"/>
    <w:rsid w:val="00A640BA"/>
    <w:rsid w:val="00A6476F"/>
    <w:rsid w:val="00A64A4E"/>
    <w:rsid w:val="00A64A51"/>
    <w:rsid w:val="00A64DF1"/>
    <w:rsid w:val="00A64F4C"/>
    <w:rsid w:val="00A653A7"/>
    <w:rsid w:val="00A65A23"/>
    <w:rsid w:val="00A66069"/>
    <w:rsid w:val="00A660FF"/>
    <w:rsid w:val="00A66AFB"/>
    <w:rsid w:val="00A67078"/>
    <w:rsid w:val="00A679F7"/>
    <w:rsid w:val="00A67A88"/>
    <w:rsid w:val="00A67ABB"/>
    <w:rsid w:val="00A67F8B"/>
    <w:rsid w:val="00A704FC"/>
    <w:rsid w:val="00A70A64"/>
    <w:rsid w:val="00A70F4A"/>
    <w:rsid w:val="00A71043"/>
    <w:rsid w:val="00A71260"/>
    <w:rsid w:val="00A718E5"/>
    <w:rsid w:val="00A71E21"/>
    <w:rsid w:val="00A722EA"/>
    <w:rsid w:val="00A728D6"/>
    <w:rsid w:val="00A72AB0"/>
    <w:rsid w:val="00A72C2F"/>
    <w:rsid w:val="00A72C7E"/>
    <w:rsid w:val="00A7368A"/>
    <w:rsid w:val="00A7399B"/>
    <w:rsid w:val="00A73B63"/>
    <w:rsid w:val="00A73C80"/>
    <w:rsid w:val="00A73CC6"/>
    <w:rsid w:val="00A744A5"/>
    <w:rsid w:val="00A745F2"/>
    <w:rsid w:val="00A75151"/>
    <w:rsid w:val="00A75696"/>
    <w:rsid w:val="00A75825"/>
    <w:rsid w:val="00A75AA6"/>
    <w:rsid w:val="00A76107"/>
    <w:rsid w:val="00A763C8"/>
    <w:rsid w:val="00A764F1"/>
    <w:rsid w:val="00A76714"/>
    <w:rsid w:val="00A76880"/>
    <w:rsid w:val="00A76929"/>
    <w:rsid w:val="00A7695B"/>
    <w:rsid w:val="00A76A93"/>
    <w:rsid w:val="00A77091"/>
    <w:rsid w:val="00A77761"/>
    <w:rsid w:val="00A801D5"/>
    <w:rsid w:val="00A805C3"/>
    <w:rsid w:val="00A808CD"/>
    <w:rsid w:val="00A80E13"/>
    <w:rsid w:val="00A80F7C"/>
    <w:rsid w:val="00A81538"/>
    <w:rsid w:val="00A81CE5"/>
    <w:rsid w:val="00A81FF7"/>
    <w:rsid w:val="00A82056"/>
    <w:rsid w:val="00A823CA"/>
    <w:rsid w:val="00A824DE"/>
    <w:rsid w:val="00A82625"/>
    <w:rsid w:val="00A82895"/>
    <w:rsid w:val="00A82AB4"/>
    <w:rsid w:val="00A82FD9"/>
    <w:rsid w:val="00A83156"/>
    <w:rsid w:val="00A83161"/>
    <w:rsid w:val="00A83401"/>
    <w:rsid w:val="00A834BF"/>
    <w:rsid w:val="00A8357D"/>
    <w:rsid w:val="00A83D4C"/>
    <w:rsid w:val="00A84C41"/>
    <w:rsid w:val="00A851C8"/>
    <w:rsid w:val="00A8530A"/>
    <w:rsid w:val="00A855E2"/>
    <w:rsid w:val="00A85DBB"/>
    <w:rsid w:val="00A85EC3"/>
    <w:rsid w:val="00A86416"/>
    <w:rsid w:val="00A86A17"/>
    <w:rsid w:val="00A86D3E"/>
    <w:rsid w:val="00A8741D"/>
    <w:rsid w:val="00A87424"/>
    <w:rsid w:val="00A87552"/>
    <w:rsid w:val="00A87665"/>
    <w:rsid w:val="00A87EE2"/>
    <w:rsid w:val="00A903C8"/>
    <w:rsid w:val="00A9055E"/>
    <w:rsid w:val="00A90663"/>
    <w:rsid w:val="00A90A49"/>
    <w:rsid w:val="00A90AA0"/>
    <w:rsid w:val="00A90F19"/>
    <w:rsid w:val="00A911A5"/>
    <w:rsid w:val="00A91B8F"/>
    <w:rsid w:val="00A924F0"/>
    <w:rsid w:val="00A92B74"/>
    <w:rsid w:val="00A92E1E"/>
    <w:rsid w:val="00A92E5A"/>
    <w:rsid w:val="00A92E89"/>
    <w:rsid w:val="00A9329B"/>
    <w:rsid w:val="00A9329D"/>
    <w:rsid w:val="00A9396B"/>
    <w:rsid w:val="00A93A21"/>
    <w:rsid w:val="00A93AA6"/>
    <w:rsid w:val="00A93BD1"/>
    <w:rsid w:val="00A93EAF"/>
    <w:rsid w:val="00A94050"/>
    <w:rsid w:val="00A94479"/>
    <w:rsid w:val="00A952EA"/>
    <w:rsid w:val="00A958A5"/>
    <w:rsid w:val="00A95A00"/>
    <w:rsid w:val="00A95BA6"/>
    <w:rsid w:val="00A95CF9"/>
    <w:rsid w:val="00A95E3D"/>
    <w:rsid w:val="00A9673B"/>
    <w:rsid w:val="00A968D8"/>
    <w:rsid w:val="00A96E48"/>
    <w:rsid w:val="00A96F73"/>
    <w:rsid w:val="00A971F8"/>
    <w:rsid w:val="00A97206"/>
    <w:rsid w:val="00A972A0"/>
    <w:rsid w:val="00A9739A"/>
    <w:rsid w:val="00A97815"/>
    <w:rsid w:val="00A979C7"/>
    <w:rsid w:val="00A97A8D"/>
    <w:rsid w:val="00A97B21"/>
    <w:rsid w:val="00A97CED"/>
    <w:rsid w:val="00AA001C"/>
    <w:rsid w:val="00AA04D8"/>
    <w:rsid w:val="00AA0CB3"/>
    <w:rsid w:val="00AA1354"/>
    <w:rsid w:val="00AA142A"/>
    <w:rsid w:val="00AA145D"/>
    <w:rsid w:val="00AA1A24"/>
    <w:rsid w:val="00AA1CC0"/>
    <w:rsid w:val="00AA2293"/>
    <w:rsid w:val="00AA26F7"/>
    <w:rsid w:val="00AA2A27"/>
    <w:rsid w:val="00AA33A9"/>
    <w:rsid w:val="00AA43E0"/>
    <w:rsid w:val="00AA45E7"/>
    <w:rsid w:val="00AA4705"/>
    <w:rsid w:val="00AA490F"/>
    <w:rsid w:val="00AA4DC2"/>
    <w:rsid w:val="00AA4E03"/>
    <w:rsid w:val="00AA539D"/>
    <w:rsid w:val="00AA5422"/>
    <w:rsid w:val="00AA62E7"/>
    <w:rsid w:val="00AA643B"/>
    <w:rsid w:val="00AA6672"/>
    <w:rsid w:val="00AA67FD"/>
    <w:rsid w:val="00AA6C33"/>
    <w:rsid w:val="00AA6D8D"/>
    <w:rsid w:val="00AA7863"/>
    <w:rsid w:val="00AA78D1"/>
    <w:rsid w:val="00AA78D7"/>
    <w:rsid w:val="00AA7A91"/>
    <w:rsid w:val="00AB021E"/>
    <w:rsid w:val="00AB1454"/>
    <w:rsid w:val="00AB159A"/>
    <w:rsid w:val="00AB1697"/>
    <w:rsid w:val="00AB19DD"/>
    <w:rsid w:val="00AB1BF2"/>
    <w:rsid w:val="00AB1E3C"/>
    <w:rsid w:val="00AB226C"/>
    <w:rsid w:val="00AB316E"/>
    <w:rsid w:val="00AB35B2"/>
    <w:rsid w:val="00AB35B7"/>
    <w:rsid w:val="00AB4143"/>
    <w:rsid w:val="00AB467C"/>
    <w:rsid w:val="00AB488E"/>
    <w:rsid w:val="00AB4945"/>
    <w:rsid w:val="00AB4A58"/>
    <w:rsid w:val="00AB4C26"/>
    <w:rsid w:val="00AB4DCA"/>
    <w:rsid w:val="00AB4E93"/>
    <w:rsid w:val="00AB58B2"/>
    <w:rsid w:val="00AB5B12"/>
    <w:rsid w:val="00AB617A"/>
    <w:rsid w:val="00AB6282"/>
    <w:rsid w:val="00AB6943"/>
    <w:rsid w:val="00AB728D"/>
    <w:rsid w:val="00AB75FD"/>
    <w:rsid w:val="00AB7717"/>
    <w:rsid w:val="00AB77EF"/>
    <w:rsid w:val="00AB791B"/>
    <w:rsid w:val="00AB7980"/>
    <w:rsid w:val="00AB79EC"/>
    <w:rsid w:val="00AC06FE"/>
    <w:rsid w:val="00AC0A8C"/>
    <w:rsid w:val="00AC12F6"/>
    <w:rsid w:val="00AC17A4"/>
    <w:rsid w:val="00AC17F3"/>
    <w:rsid w:val="00AC1807"/>
    <w:rsid w:val="00AC1B97"/>
    <w:rsid w:val="00AC1D9E"/>
    <w:rsid w:val="00AC209A"/>
    <w:rsid w:val="00AC21D1"/>
    <w:rsid w:val="00AC229F"/>
    <w:rsid w:val="00AC22B7"/>
    <w:rsid w:val="00AC2ADB"/>
    <w:rsid w:val="00AC2C4F"/>
    <w:rsid w:val="00AC3292"/>
    <w:rsid w:val="00AC36A6"/>
    <w:rsid w:val="00AC3A32"/>
    <w:rsid w:val="00AC3A69"/>
    <w:rsid w:val="00AC3E74"/>
    <w:rsid w:val="00AC4331"/>
    <w:rsid w:val="00AC459C"/>
    <w:rsid w:val="00AC45F1"/>
    <w:rsid w:val="00AC4A28"/>
    <w:rsid w:val="00AC56F2"/>
    <w:rsid w:val="00AC58B4"/>
    <w:rsid w:val="00AC5B12"/>
    <w:rsid w:val="00AC5C69"/>
    <w:rsid w:val="00AC5D37"/>
    <w:rsid w:val="00AC5EF6"/>
    <w:rsid w:val="00AC6061"/>
    <w:rsid w:val="00AC6C3A"/>
    <w:rsid w:val="00AC6D33"/>
    <w:rsid w:val="00AC7012"/>
    <w:rsid w:val="00AC70DB"/>
    <w:rsid w:val="00AC782C"/>
    <w:rsid w:val="00AD024C"/>
    <w:rsid w:val="00AD032F"/>
    <w:rsid w:val="00AD0D90"/>
    <w:rsid w:val="00AD142E"/>
    <w:rsid w:val="00AD17A0"/>
    <w:rsid w:val="00AD2599"/>
    <w:rsid w:val="00AD259C"/>
    <w:rsid w:val="00AD292A"/>
    <w:rsid w:val="00AD2BED"/>
    <w:rsid w:val="00AD2C3C"/>
    <w:rsid w:val="00AD2DF4"/>
    <w:rsid w:val="00AD30A4"/>
    <w:rsid w:val="00AD3125"/>
    <w:rsid w:val="00AD34E9"/>
    <w:rsid w:val="00AD35E6"/>
    <w:rsid w:val="00AD374D"/>
    <w:rsid w:val="00AD390A"/>
    <w:rsid w:val="00AD4085"/>
    <w:rsid w:val="00AD41C7"/>
    <w:rsid w:val="00AD4427"/>
    <w:rsid w:val="00AD468F"/>
    <w:rsid w:val="00AD496A"/>
    <w:rsid w:val="00AD4BB3"/>
    <w:rsid w:val="00AD4C37"/>
    <w:rsid w:val="00AD4F75"/>
    <w:rsid w:val="00AD52DA"/>
    <w:rsid w:val="00AD555B"/>
    <w:rsid w:val="00AD55E2"/>
    <w:rsid w:val="00AD5D03"/>
    <w:rsid w:val="00AD63A5"/>
    <w:rsid w:val="00AD63BB"/>
    <w:rsid w:val="00AD693F"/>
    <w:rsid w:val="00AD7037"/>
    <w:rsid w:val="00AD71E4"/>
    <w:rsid w:val="00AD782A"/>
    <w:rsid w:val="00AD787C"/>
    <w:rsid w:val="00AD7E67"/>
    <w:rsid w:val="00AE0335"/>
    <w:rsid w:val="00AE0C87"/>
    <w:rsid w:val="00AE0D65"/>
    <w:rsid w:val="00AE0EDD"/>
    <w:rsid w:val="00AE16A0"/>
    <w:rsid w:val="00AE18D3"/>
    <w:rsid w:val="00AE193F"/>
    <w:rsid w:val="00AE1B1C"/>
    <w:rsid w:val="00AE1BFE"/>
    <w:rsid w:val="00AE1BFF"/>
    <w:rsid w:val="00AE1CF3"/>
    <w:rsid w:val="00AE2044"/>
    <w:rsid w:val="00AE2100"/>
    <w:rsid w:val="00AE24FE"/>
    <w:rsid w:val="00AE2614"/>
    <w:rsid w:val="00AE2805"/>
    <w:rsid w:val="00AE2DBB"/>
    <w:rsid w:val="00AE2F46"/>
    <w:rsid w:val="00AE3487"/>
    <w:rsid w:val="00AE3894"/>
    <w:rsid w:val="00AE3A91"/>
    <w:rsid w:val="00AE3EE0"/>
    <w:rsid w:val="00AE3EE8"/>
    <w:rsid w:val="00AE3FC5"/>
    <w:rsid w:val="00AE4340"/>
    <w:rsid w:val="00AE4BDA"/>
    <w:rsid w:val="00AE5086"/>
    <w:rsid w:val="00AE5CBE"/>
    <w:rsid w:val="00AE60C6"/>
    <w:rsid w:val="00AE642D"/>
    <w:rsid w:val="00AE671B"/>
    <w:rsid w:val="00AE6782"/>
    <w:rsid w:val="00AE6881"/>
    <w:rsid w:val="00AE6A35"/>
    <w:rsid w:val="00AE6D3E"/>
    <w:rsid w:val="00AE6F9E"/>
    <w:rsid w:val="00AE72F2"/>
    <w:rsid w:val="00AE7480"/>
    <w:rsid w:val="00AE7DB5"/>
    <w:rsid w:val="00AF0B03"/>
    <w:rsid w:val="00AF0E8C"/>
    <w:rsid w:val="00AF16CC"/>
    <w:rsid w:val="00AF1DF8"/>
    <w:rsid w:val="00AF2127"/>
    <w:rsid w:val="00AF2A89"/>
    <w:rsid w:val="00AF302E"/>
    <w:rsid w:val="00AF3175"/>
    <w:rsid w:val="00AF3404"/>
    <w:rsid w:val="00AF3560"/>
    <w:rsid w:val="00AF37CB"/>
    <w:rsid w:val="00AF3ECA"/>
    <w:rsid w:val="00AF4355"/>
    <w:rsid w:val="00AF46A5"/>
    <w:rsid w:val="00AF48FC"/>
    <w:rsid w:val="00AF4A65"/>
    <w:rsid w:val="00AF4BB1"/>
    <w:rsid w:val="00AF4EB8"/>
    <w:rsid w:val="00AF56DB"/>
    <w:rsid w:val="00AF5FEB"/>
    <w:rsid w:val="00AF66CC"/>
    <w:rsid w:val="00AF66EB"/>
    <w:rsid w:val="00AF6C95"/>
    <w:rsid w:val="00AF6CB1"/>
    <w:rsid w:val="00AF7564"/>
    <w:rsid w:val="00AF79C5"/>
    <w:rsid w:val="00AF7B5D"/>
    <w:rsid w:val="00AF7EC1"/>
    <w:rsid w:val="00AF7FB0"/>
    <w:rsid w:val="00B0006B"/>
    <w:rsid w:val="00B005E3"/>
    <w:rsid w:val="00B00875"/>
    <w:rsid w:val="00B00FD7"/>
    <w:rsid w:val="00B012F2"/>
    <w:rsid w:val="00B0130A"/>
    <w:rsid w:val="00B01816"/>
    <w:rsid w:val="00B01A8A"/>
    <w:rsid w:val="00B01C30"/>
    <w:rsid w:val="00B01C52"/>
    <w:rsid w:val="00B02225"/>
    <w:rsid w:val="00B02A49"/>
    <w:rsid w:val="00B03847"/>
    <w:rsid w:val="00B0389B"/>
    <w:rsid w:val="00B03E65"/>
    <w:rsid w:val="00B0437C"/>
    <w:rsid w:val="00B044CD"/>
    <w:rsid w:val="00B04899"/>
    <w:rsid w:val="00B04B0A"/>
    <w:rsid w:val="00B04C93"/>
    <w:rsid w:val="00B05290"/>
    <w:rsid w:val="00B0529C"/>
    <w:rsid w:val="00B05462"/>
    <w:rsid w:val="00B054F4"/>
    <w:rsid w:val="00B05E50"/>
    <w:rsid w:val="00B05E81"/>
    <w:rsid w:val="00B05F51"/>
    <w:rsid w:val="00B05F76"/>
    <w:rsid w:val="00B05FBD"/>
    <w:rsid w:val="00B06325"/>
    <w:rsid w:val="00B0656D"/>
    <w:rsid w:val="00B06891"/>
    <w:rsid w:val="00B06A94"/>
    <w:rsid w:val="00B06B40"/>
    <w:rsid w:val="00B06E04"/>
    <w:rsid w:val="00B06FB7"/>
    <w:rsid w:val="00B07386"/>
    <w:rsid w:val="00B073FE"/>
    <w:rsid w:val="00B0757A"/>
    <w:rsid w:val="00B07595"/>
    <w:rsid w:val="00B075D6"/>
    <w:rsid w:val="00B0793C"/>
    <w:rsid w:val="00B07D3B"/>
    <w:rsid w:val="00B07F40"/>
    <w:rsid w:val="00B103BF"/>
    <w:rsid w:val="00B10523"/>
    <w:rsid w:val="00B10832"/>
    <w:rsid w:val="00B10B01"/>
    <w:rsid w:val="00B10CE7"/>
    <w:rsid w:val="00B10F50"/>
    <w:rsid w:val="00B11097"/>
    <w:rsid w:val="00B11D85"/>
    <w:rsid w:val="00B12283"/>
    <w:rsid w:val="00B128D7"/>
    <w:rsid w:val="00B12CC0"/>
    <w:rsid w:val="00B12D6A"/>
    <w:rsid w:val="00B12EC2"/>
    <w:rsid w:val="00B130D3"/>
    <w:rsid w:val="00B13805"/>
    <w:rsid w:val="00B138B9"/>
    <w:rsid w:val="00B13908"/>
    <w:rsid w:val="00B13BF4"/>
    <w:rsid w:val="00B1416C"/>
    <w:rsid w:val="00B142A8"/>
    <w:rsid w:val="00B142CD"/>
    <w:rsid w:val="00B14474"/>
    <w:rsid w:val="00B1447F"/>
    <w:rsid w:val="00B14745"/>
    <w:rsid w:val="00B14865"/>
    <w:rsid w:val="00B148B5"/>
    <w:rsid w:val="00B14D32"/>
    <w:rsid w:val="00B14D74"/>
    <w:rsid w:val="00B15426"/>
    <w:rsid w:val="00B15781"/>
    <w:rsid w:val="00B15921"/>
    <w:rsid w:val="00B15A26"/>
    <w:rsid w:val="00B161BB"/>
    <w:rsid w:val="00B1654A"/>
    <w:rsid w:val="00B1738A"/>
    <w:rsid w:val="00B17906"/>
    <w:rsid w:val="00B17944"/>
    <w:rsid w:val="00B17D70"/>
    <w:rsid w:val="00B17E7E"/>
    <w:rsid w:val="00B2023A"/>
    <w:rsid w:val="00B20433"/>
    <w:rsid w:val="00B2068B"/>
    <w:rsid w:val="00B20A3F"/>
    <w:rsid w:val="00B20AC8"/>
    <w:rsid w:val="00B20C4A"/>
    <w:rsid w:val="00B20CD1"/>
    <w:rsid w:val="00B21002"/>
    <w:rsid w:val="00B211BA"/>
    <w:rsid w:val="00B21312"/>
    <w:rsid w:val="00B216CF"/>
    <w:rsid w:val="00B2195C"/>
    <w:rsid w:val="00B21A64"/>
    <w:rsid w:val="00B21B28"/>
    <w:rsid w:val="00B21D56"/>
    <w:rsid w:val="00B22598"/>
    <w:rsid w:val="00B226DA"/>
    <w:rsid w:val="00B22933"/>
    <w:rsid w:val="00B22EA0"/>
    <w:rsid w:val="00B22FC5"/>
    <w:rsid w:val="00B23059"/>
    <w:rsid w:val="00B23ABC"/>
    <w:rsid w:val="00B23E6B"/>
    <w:rsid w:val="00B240F7"/>
    <w:rsid w:val="00B24299"/>
    <w:rsid w:val="00B2429F"/>
    <w:rsid w:val="00B24858"/>
    <w:rsid w:val="00B24931"/>
    <w:rsid w:val="00B24C76"/>
    <w:rsid w:val="00B24DE2"/>
    <w:rsid w:val="00B24E72"/>
    <w:rsid w:val="00B24F76"/>
    <w:rsid w:val="00B251D6"/>
    <w:rsid w:val="00B25934"/>
    <w:rsid w:val="00B25B31"/>
    <w:rsid w:val="00B25B4B"/>
    <w:rsid w:val="00B25D53"/>
    <w:rsid w:val="00B25F49"/>
    <w:rsid w:val="00B26025"/>
    <w:rsid w:val="00B263BF"/>
    <w:rsid w:val="00B26914"/>
    <w:rsid w:val="00B27036"/>
    <w:rsid w:val="00B27143"/>
    <w:rsid w:val="00B274E7"/>
    <w:rsid w:val="00B2762A"/>
    <w:rsid w:val="00B2768B"/>
    <w:rsid w:val="00B276BA"/>
    <w:rsid w:val="00B279D1"/>
    <w:rsid w:val="00B27C1E"/>
    <w:rsid w:val="00B27D77"/>
    <w:rsid w:val="00B301B9"/>
    <w:rsid w:val="00B303D9"/>
    <w:rsid w:val="00B304C2"/>
    <w:rsid w:val="00B30540"/>
    <w:rsid w:val="00B308D8"/>
    <w:rsid w:val="00B309DE"/>
    <w:rsid w:val="00B30A20"/>
    <w:rsid w:val="00B30A68"/>
    <w:rsid w:val="00B30D91"/>
    <w:rsid w:val="00B30F09"/>
    <w:rsid w:val="00B31092"/>
    <w:rsid w:val="00B3136E"/>
    <w:rsid w:val="00B319F4"/>
    <w:rsid w:val="00B3208E"/>
    <w:rsid w:val="00B32108"/>
    <w:rsid w:val="00B3211F"/>
    <w:rsid w:val="00B32177"/>
    <w:rsid w:val="00B322B5"/>
    <w:rsid w:val="00B32368"/>
    <w:rsid w:val="00B33711"/>
    <w:rsid w:val="00B338BB"/>
    <w:rsid w:val="00B33C0D"/>
    <w:rsid w:val="00B33EC2"/>
    <w:rsid w:val="00B33F7E"/>
    <w:rsid w:val="00B340A1"/>
    <w:rsid w:val="00B344B5"/>
    <w:rsid w:val="00B34E38"/>
    <w:rsid w:val="00B352AE"/>
    <w:rsid w:val="00B35B97"/>
    <w:rsid w:val="00B35BE7"/>
    <w:rsid w:val="00B35C4C"/>
    <w:rsid w:val="00B35ECE"/>
    <w:rsid w:val="00B35F46"/>
    <w:rsid w:val="00B360DF"/>
    <w:rsid w:val="00B3623B"/>
    <w:rsid w:val="00B363FB"/>
    <w:rsid w:val="00B36669"/>
    <w:rsid w:val="00B36672"/>
    <w:rsid w:val="00B3684C"/>
    <w:rsid w:val="00B368BC"/>
    <w:rsid w:val="00B368E9"/>
    <w:rsid w:val="00B36AB7"/>
    <w:rsid w:val="00B36C0A"/>
    <w:rsid w:val="00B37219"/>
    <w:rsid w:val="00B37233"/>
    <w:rsid w:val="00B372DB"/>
    <w:rsid w:val="00B37411"/>
    <w:rsid w:val="00B376B0"/>
    <w:rsid w:val="00B37B05"/>
    <w:rsid w:val="00B400B6"/>
    <w:rsid w:val="00B40166"/>
    <w:rsid w:val="00B4040C"/>
    <w:rsid w:val="00B409AF"/>
    <w:rsid w:val="00B40A2C"/>
    <w:rsid w:val="00B40B8E"/>
    <w:rsid w:val="00B40C1F"/>
    <w:rsid w:val="00B40C54"/>
    <w:rsid w:val="00B40DF4"/>
    <w:rsid w:val="00B41419"/>
    <w:rsid w:val="00B41823"/>
    <w:rsid w:val="00B41D04"/>
    <w:rsid w:val="00B424C0"/>
    <w:rsid w:val="00B42A99"/>
    <w:rsid w:val="00B42D9D"/>
    <w:rsid w:val="00B42EF7"/>
    <w:rsid w:val="00B432A5"/>
    <w:rsid w:val="00B433E2"/>
    <w:rsid w:val="00B43684"/>
    <w:rsid w:val="00B43750"/>
    <w:rsid w:val="00B43DF6"/>
    <w:rsid w:val="00B442E9"/>
    <w:rsid w:val="00B447C3"/>
    <w:rsid w:val="00B449C9"/>
    <w:rsid w:val="00B4540B"/>
    <w:rsid w:val="00B454D8"/>
    <w:rsid w:val="00B46047"/>
    <w:rsid w:val="00B4614C"/>
    <w:rsid w:val="00B46CA5"/>
    <w:rsid w:val="00B47099"/>
    <w:rsid w:val="00B474C8"/>
    <w:rsid w:val="00B474E6"/>
    <w:rsid w:val="00B47751"/>
    <w:rsid w:val="00B47DD7"/>
    <w:rsid w:val="00B503DC"/>
    <w:rsid w:val="00B5194E"/>
    <w:rsid w:val="00B51A1B"/>
    <w:rsid w:val="00B51BAD"/>
    <w:rsid w:val="00B51F77"/>
    <w:rsid w:val="00B5226E"/>
    <w:rsid w:val="00B52B50"/>
    <w:rsid w:val="00B52E00"/>
    <w:rsid w:val="00B52F98"/>
    <w:rsid w:val="00B53153"/>
    <w:rsid w:val="00B53267"/>
    <w:rsid w:val="00B53371"/>
    <w:rsid w:val="00B53DBF"/>
    <w:rsid w:val="00B53FA3"/>
    <w:rsid w:val="00B53FD5"/>
    <w:rsid w:val="00B54229"/>
    <w:rsid w:val="00B545F3"/>
    <w:rsid w:val="00B5471A"/>
    <w:rsid w:val="00B54954"/>
    <w:rsid w:val="00B54AFF"/>
    <w:rsid w:val="00B54D93"/>
    <w:rsid w:val="00B55A47"/>
    <w:rsid w:val="00B56138"/>
    <w:rsid w:val="00B56EA7"/>
    <w:rsid w:val="00B57652"/>
    <w:rsid w:val="00B576FE"/>
    <w:rsid w:val="00B57CDE"/>
    <w:rsid w:val="00B57DAF"/>
    <w:rsid w:val="00B57E44"/>
    <w:rsid w:val="00B57E86"/>
    <w:rsid w:val="00B60B60"/>
    <w:rsid w:val="00B60CFE"/>
    <w:rsid w:val="00B616AF"/>
    <w:rsid w:val="00B61C7E"/>
    <w:rsid w:val="00B61E88"/>
    <w:rsid w:val="00B62368"/>
    <w:rsid w:val="00B624C2"/>
    <w:rsid w:val="00B6295B"/>
    <w:rsid w:val="00B63035"/>
    <w:rsid w:val="00B6333A"/>
    <w:rsid w:val="00B6335D"/>
    <w:rsid w:val="00B63417"/>
    <w:rsid w:val="00B634FC"/>
    <w:rsid w:val="00B6370B"/>
    <w:rsid w:val="00B638A4"/>
    <w:rsid w:val="00B63909"/>
    <w:rsid w:val="00B63934"/>
    <w:rsid w:val="00B639CA"/>
    <w:rsid w:val="00B63FB5"/>
    <w:rsid w:val="00B64011"/>
    <w:rsid w:val="00B64B56"/>
    <w:rsid w:val="00B64BA3"/>
    <w:rsid w:val="00B64BAA"/>
    <w:rsid w:val="00B64C54"/>
    <w:rsid w:val="00B64DE6"/>
    <w:rsid w:val="00B64F9D"/>
    <w:rsid w:val="00B650CA"/>
    <w:rsid w:val="00B661D3"/>
    <w:rsid w:val="00B66434"/>
    <w:rsid w:val="00B66CD5"/>
    <w:rsid w:val="00B66D67"/>
    <w:rsid w:val="00B66EC0"/>
    <w:rsid w:val="00B670BB"/>
    <w:rsid w:val="00B6727F"/>
    <w:rsid w:val="00B677FC"/>
    <w:rsid w:val="00B679C2"/>
    <w:rsid w:val="00B67D43"/>
    <w:rsid w:val="00B7036D"/>
    <w:rsid w:val="00B703E0"/>
    <w:rsid w:val="00B7071C"/>
    <w:rsid w:val="00B70BC2"/>
    <w:rsid w:val="00B70D91"/>
    <w:rsid w:val="00B70E42"/>
    <w:rsid w:val="00B7133E"/>
    <w:rsid w:val="00B71374"/>
    <w:rsid w:val="00B71BC7"/>
    <w:rsid w:val="00B71C00"/>
    <w:rsid w:val="00B71E14"/>
    <w:rsid w:val="00B7200F"/>
    <w:rsid w:val="00B72124"/>
    <w:rsid w:val="00B72AB2"/>
    <w:rsid w:val="00B730ED"/>
    <w:rsid w:val="00B7311B"/>
    <w:rsid w:val="00B7336F"/>
    <w:rsid w:val="00B73387"/>
    <w:rsid w:val="00B733EF"/>
    <w:rsid w:val="00B734C5"/>
    <w:rsid w:val="00B735F9"/>
    <w:rsid w:val="00B740AA"/>
    <w:rsid w:val="00B745E0"/>
    <w:rsid w:val="00B74705"/>
    <w:rsid w:val="00B74CE8"/>
    <w:rsid w:val="00B74CF9"/>
    <w:rsid w:val="00B74DB6"/>
    <w:rsid w:val="00B74F0B"/>
    <w:rsid w:val="00B750BE"/>
    <w:rsid w:val="00B75496"/>
    <w:rsid w:val="00B754A6"/>
    <w:rsid w:val="00B755FD"/>
    <w:rsid w:val="00B75AA9"/>
    <w:rsid w:val="00B75AFC"/>
    <w:rsid w:val="00B761B3"/>
    <w:rsid w:val="00B761EB"/>
    <w:rsid w:val="00B763D4"/>
    <w:rsid w:val="00B76411"/>
    <w:rsid w:val="00B7658D"/>
    <w:rsid w:val="00B768BC"/>
    <w:rsid w:val="00B76B55"/>
    <w:rsid w:val="00B76D54"/>
    <w:rsid w:val="00B76DCD"/>
    <w:rsid w:val="00B77292"/>
    <w:rsid w:val="00B77413"/>
    <w:rsid w:val="00B774A6"/>
    <w:rsid w:val="00B7772E"/>
    <w:rsid w:val="00B778A6"/>
    <w:rsid w:val="00B778AA"/>
    <w:rsid w:val="00B77D00"/>
    <w:rsid w:val="00B801AA"/>
    <w:rsid w:val="00B8061B"/>
    <w:rsid w:val="00B8064C"/>
    <w:rsid w:val="00B806A3"/>
    <w:rsid w:val="00B8088A"/>
    <w:rsid w:val="00B811F7"/>
    <w:rsid w:val="00B8139E"/>
    <w:rsid w:val="00B815E1"/>
    <w:rsid w:val="00B81794"/>
    <w:rsid w:val="00B81C7A"/>
    <w:rsid w:val="00B81FC0"/>
    <w:rsid w:val="00B82171"/>
    <w:rsid w:val="00B82A4F"/>
    <w:rsid w:val="00B82EA4"/>
    <w:rsid w:val="00B82F31"/>
    <w:rsid w:val="00B83318"/>
    <w:rsid w:val="00B83D8F"/>
    <w:rsid w:val="00B84464"/>
    <w:rsid w:val="00B84487"/>
    <w:rsid w:val="00B84CAD"/>
    <w:rsid w:val="00B85071"/>
    <w:rsid w:val="00B8531E"/>
    <w:rsid w:val="00B8532A"/>
    <w:rsid w:val="00B8535E"/>
    <w:rsid w:val="00B85637"/>
    <w:rsid w:val="00B856E7"/>
    <w:rsid w:val="00B85F0B"/>
    <w:rsid w:val="00B85F4D"/>
    <w:rsid w:val="00B86490"/>
    <w:rsid w:val="00B86B98"/>
    <w:rsid w:val="00B86BD6"/>
    <w:rsid w:val="00B86CAA"/>
    <w:rsid w:val="00B86EE4"/>
    <w:rsid w:val="00B870AA"/>
    <w:rsid w:val="00B872BE"/>
    <w:rsid w:val="00B87362"/>
    <w:rsid w:val="00B873CD"/>
    <w:rsid w:val="00B87659"/>
    <w:rsid w:val="00B87847"/>
    <w:rsid w:val="00B87D15"/>
    <w:rsid w:val="00B87E3C"/>
    <w:rsid w:val="00B908B1"/>
    <w:rsid w:val="00B9094B"/>
    <w:rsid w:val="00B90B9D"/>
    <w:rsid w:val="00B90FDA"/>
    <w:rsid w:val="00B90FFF"/>
    <w:rsid w:val="00B910E8"/>
    <w:rsid w:val="00B91115"/>
    <w:rsid w:val="00B91378"/>
    <w:rsid w:val="00B915BF"/>
    <w:rsid w:val="00B919BA"/>
    <w:rsid w:val="00B92007"/>
    <w:rsid w:val="00B92015"/>
    <w:rsid w:val="00B922D7"/>
    <w:rsid w:val="00B92357"/>
    <w:rsid w:val="00B923B3"/>
    <w:rsid w:val="00B92430"/>
    <w:rsid w:val="00B92633"/>
    <w:rsid w:val="00B92AD1"/>
    <w:rsid w:val="00B92BD1"/>
    <w:rsid w:val="00B92E77"/>
    <w:rsid w:val="00B93314"/>
    <w:rsid w:val="00B93447"/>
    <w:rsid w:val="00B934B6"/>
    <w:rsid w:val="00B934BC"/>
    <w:rsid w:val="00B937C5"/>
    <w:rsid w:val="00B93D6F"/>
    <w:rsid w:val="00B93E60"/>
    <w:rsid w:val="00B93ED7"/>
    <w:rsid w:val="00B93EED"/>
    <w:rsid w:val="00B94097"/>
    <w:rsid w:val="00B94287"/>
    <w:rsid w:val="00B948A6"/>
    <w:rsid w:val="00B952D0"/>
    <w:rsid w:val="00B95415"/>
    <w:rsid w:val="00B9579A"/>
    <w:rsid w:val="00B95E82"/>
    <w:rsid w:val="00B95F06"/>
    <w:rsid w:val="00B95FD1"/>
    <w:rsid w:val="00B95FE8"/>
    <w:rsid w:val="00B96087"/>
    <w:rsid w:val="00B9626F"/>
    <w:rsid w:val="00B9679E"/>
    <w:rsid w:val="00B96838"/>
    <w:rsid w:val="00B96B4E"/>
    <w:rsid w:val="00B96C33"/>
    <w:rsid w:val="00B97DEF"/>
    <w:rsid w:val="00BA0960"/>
    <w:rsid w:val="00BA0C11"/>
    <w:rsid w:val="00BA0FE4"/>
    <w:rsid w:val="00BA109E"/>
    <w:rsid w:val="00BA178D"/>
    <w:rsid w:val="00BA18D1"/>
    <w:rsid w:val="00BA18D2"/>
    <w:rsid w:val="00BA1B11"/>
    <w:rsid w:val="00BA2086"/>
    <w:rsid w:val="00BA211D"/>
    <w:rsid w:val="00BA2120"/>
    <w:rsid w:val="00BA216E"/>
    <w:rsid w:val="00BA27D5"/>
    <w:rsid w:val="00BA29FE"/>
    <w:rsid w:val="00BA3182"/>
    <w:rsid w:val="00BA3436"/>
    <w:rsid w:val="00BA34C9"/>
    <w:rsid w:val="00BA3F15"/>
    <w:rsid w:val="00BA4712"/>
    <w:rsid w:val="00BA493B"/>
    <w:rsid w:val="00BA49A5"/>
    <w:rsid w:val="00BA4A05"/>
    <w:rsid w:val="00BA4AAF"/>
    <w:rsid w:val="00BA4F05"/>
    <w:rsid w:val="00BA565E"/>
    <w:rsid w:val="00BA5D56"/>
    <w:rsid w:val="00BA6295"/>
    <w:rsid w:val="00BA687D"/>
    <w:rsid w:val="00BA6EF3"/>
    <w:rsid w:val="00BA7BCC"/>
    <w:rsid w:val="00BA7DF4"/>
    <w:rsid w:val="00BA7F2B"/>
    <w:rsid w:val="00BB03B5"/>
    <w:rsid w:val="00BB073C"/>
    <w:rsid w:val="00BB0BF0"/>
    <w:rsid w:val="00BB0E3E"/>
    <w:rsid w:val="00BB102D"/>
    <w:rsid w:val="00BB12E8"/>
    <w:rsid w:val="00BB1427"/>
    <w:rsid w:val="00BB1770"/>
    <w:rsid w:val="00BB1A67"/>
    <w:rsid w:val="00BB1BEA"/>
    <w:rsid w:val="00BB1C65"/>
    <w:rsid w:val="00BB1D7C"/>
    <w:rsid w:val="00BB1DB2"/>
    <w:rsid w:val="00BB1E35"/>
    <w:rsid w:val="00BB2531"/>
    <w:rsid w:val="00BB27D6"/>
    <w:rsid w:val="00BB2C12"/>
    <w:rsid w:val="00BB2CF4"/>
    <w:rsid w:val="00BB4037"/>
    <w:rsid w:val="00BB408D"/>
    <w:rsid w:val="00BB4A68"/>
    <w:rsid w:val="00BB4BB4"/>
    <w:rsid w:val="00BB5D8F"/>
    <w:rsid w:val="00BB5E43"/>
    <w:rsid w:val="00BB5FDA"/>
    <w:rsid w:val="00BB61A4"/>
    <w:rsid w:val="00BB6594"/>
    <w:rsid w:val="00BB697E"/>
    <w:rsid w:val="00BB6BE8"/>
    <w:rsid w:val="00BB6E24"/>
    <w:rsid w:val="00BB6E7D"/>
    <w:rsid w:val="00BB6F20"/>
    <w:rsid w:val="00BB711E"/>
    <w:rsid w:val="00BB7511"/>
    <w:rsid w:val="00BB7928"/>
    <w:rsid w:val="00BB79F6"/>
    <w:rsid w:val="00BB7B8B"/>
    <w:rsid w:val="00BB7F63"/>
    <w:rsid w:val="00BC0EB0"/>
    <w:rsid w:val="00BC10D6"/>
    <w:rsid w:val="00BC10DC"/>
    <w:rsid w:val="00BC1209"/>
    <w:rsid w:val="00BC149E"/>
    <w:rsid w:val="00BC157B"/>
    <w:rsid w:val="00BC177B"/>
    <w:rsid w:val="00BC1AAD"/>
    <w:rsid w:val="00BC1AF8"/>
    <w:rsid w:val="00BC1D39"/>
    <w:rsid w:val="00BC2838"/>
    <w:rsid w:val="00BC2B9A"/>
    <w:rsid w:val="00BC2D06"/>
    <w:rsid w:val="00BC2E2D"/>
    <w:rsid w:val="00BC2F4F"/>
    <w:rsid w:val="00BC3756"/>
    <w:rsid w:val="00BC412B"/>
    <w:rsid w:val="00BC4194"/>
    <w:rsid w:val="00BC4326"/>
    <w:rsid w:val="00BC4FC2"/>
    <w:rsid w:val="00BC5182"/>
    <w:rsid w:val="00BC54FB"/>
    <w:rsid w:val="00BC5B9A"/>
    <w:rsid w:val="00BC5C97"/>
    <w:rsid w:val="00BC625D"/>
    <w:rsid w:val="00BC655A"/>
    <w:rsid w:val="00BC6617"/>
    <w:rsid w:val="00BC67FF"/>
    <w:rsid w:val="00BC6A93"/>
    <w:rsid w:val="00BC6B91"/>
    <w:rsid w:val="00BC7086"/>
    <w:rsid w:val="00BC740D"/>
    <w:rsid w:val="00BC74EB"/>
    <w:rsid w:val="00BC769D"/>
    <w:rsid w:val="00BC76A1"/>
    <w:rsid w:val="00BC772B"/>
    <w:rsid w:val="00BC7C48"/>
    <w:rsid w:val="00BC7CC1"/>
    <w:rsid w:val="00BC7EA8"/>
    <w:rsid w:val="00BC7FBE"/>
    <w:rsid w:val="00BD0559"/>
    <w:rsid w:val="00BD09FC"/>
    <w:rsid w:val="00BD0B76"/>
    <w:rsid w:val="00BD10E4"/>
    <w:rsid w:val="00BD113A"/>
    <w:rsid w:val="00BD114F"/>
    <w:rsid w:val="00BD1394"/>
    <w:rsid w:val="00BD1591"/>
    <w:rsid w:val="00BD1F0D"/>
    <w:rsid w:val="00BD213E"/>
    <w:rsid w:val="00BD22F8"/>
    <w:rsid w:val="00BD2697"/>
    <w:rsid w:val="00BD2961"/>
    <w:rsid w:val="00BD33C1"/>
    <w:rsid w:val="00BD3982"/>
    <w:rsid w:val="00BD3FD8"/>
    <w:rsid w:val="00BD40D2"/>
    <w:rsid w:val="00BD428B"/>
    <w:rsid w:val="00BD4787"/>
    <w:rsid w:val="00BD4E05"/>
    <w:rsid w:val="00BD4F01"/>
    <w:rsid w:val="00BD530E"/>
    <w:rsid w:val="00BD5377"/>
    <w:rsid w:val="00BD54ED"/>
    <w:rsid w:val="00BD5737"/>
    <w:rsid w:val="00BD5880"/>
    <w:rsid w:val="00BD5AB0"/>
    <w:rsid w:val="00BD5AF5"/>
    <w:rsid w:val="00BD5C2D"/>
    <w:rsid w:val="00BD6088"/>
    <w:rsid w:val="00BD6620"/>
    <w:rsid w:val="00BD6A5B"/>
    <w:rsid w:val="00BD6CBF"/>
    <w:rsid w:val="00BD7181"/>
    <w:rsid w:val="00BD7330"/>
    <w:rsid w:val="00BD748C"/>
    <w:rsid w:val="00BD76D8"/>
    <w:rsid w:val="00BD7AEA"/>
    <w:rsid w:val="00BD7FDD"/>
    <w:rsid w:val="00BD7FE0"/>
    <w:rsid w:val="00BE0577"/>
    <w:rsid w:val="00BE05CE"/>
    <w:rsid w:val="00BE08F8"/>
    <w:rsid w:val="00BE0A3A"/>
    <w:rsid w:val="00BE0A6D"/>
    <w:rsid w:val="00BE105F"/>
    <w:rsid w:val="00BE10B7"/>
    <w:rsid w:val="00BE175F"/>
    <w:rsid w:val="00BE1A62"/>
    <w:rsid w:val="00BE1FD2"/>
    <w:rsid w:val="00BE2082"/>
    <w:rsid w:val="00BE209E"/>
    <w:rsid w:val="00BE21B2"/>
    <w:rsid w:val="00BE22E0"/>
    <w:rsid w:val="00BE2F26"/>
    <w:rsid w:val="00BE2F28"/>
    <w:rsid w:val="00BE365E"/>
    <w:rsid w:val="00BE3F08"/>
    <w:rsid w:val="00BE42BC"/>
    <w:rsid w:val="00BE454F"/>
    <w:rsid w:val="00BE48D0"/>
    <w:rsid w:val="00BE53A3"/>
    <w:rsid w:val="00BE593B"/>
    <w:rsid w:val="00BE59CC"/>
    <w:rsid w:val="00BE59ED"/>
    <w:rsid w:val="00BE5C3B"/>
    <w:rsid w:val="00BE5FEF"/>
    <w:rsid w:val="00BE603C"/>
    <w:rsid w:val="00BE603F"/>
    <w:rsid w:val="00BE60C3"/>
    <w:rsid w:val="00BE63A4"/>
    <w:rsid w:val="00BE6F64"/>
    <w:rsid w:val="00BE752A"/>
    <w:rsid w:val="00BE77B0"/>
    <w:rsid w:val="00BE7F63"/>
    <w:rsid w:val="00BF02E5"/>
    <w:rsid w:val="00BF0A47"/>
    <w:rsid w:val="00BF117A"/>
    <w:rsid w:val="00BF152B"/>
    <w:rsid w:val="00BF1544"/>
    <w:rsid w:val="00BF1F54"/>
    <w:rsid w:val="00BF2D13"/>
    <w:rsid w:val="00BF2F3D"/>
    <w:rsid w:val="00BF31AD"/>
    <w:rsid w:val="00BF3267"/>
    <w:rsid w:val="00BF3620"/>
    <w:rsid w:val="00BF371B"/>
    <w:rsid w:val="00BF3922"/>
    <w:rsid w:val="00BF39A4"/>
    <w:rsid w:val="00BF3C8D"/>
    <w:rsid w:val="00BF40A8"/>
    <w:rsid w:val="00BF41A9"/>
    <w:rsid w:val="00BF494A"/>
    <w:rsid w:val="00BF4FC9"/>
    <w:rsid w:val="00BF5467"/>
    <w:rsid w:val="00BF586C"/>
    <w:rsid w:val="00BF60A0"/>
    <w:rsid w:val="00BF69EA"/>
    <w:rsid w:val="00BF6FDA"/>
    <w:rsid w:val="00BF759A"/>
    <w:rsid w:val="00BF7958"/>
    <w:rsid w:val="00BF7ACA"/>
    <w:rsid w:val="00BF7BE7"/>
    <w:rsid w:val="00C000E4"/>
    <w:rsid w:val="00C00EA3"/>
    <w:rsid w:val="00C00F2F"/>
    <w:rsid w:val="00C00F79"/>
    <w:rsid w:val="00C00F8B"/>
    <w:rsid w:val="00C015F2"/>
    <w:rsid w:val="00C016E0"/>
    <w:rsid w:val="00C0210D"/>
    <w:rsid w:val="00C021AE"/>
    <w:rsid w:val="00C02CB8"/>
    <w:rsid w:val="00C03053"/>
    <w:rsid w:val="00C0333A"/>
    <w:rsid w:val="00C03575"/>
    <w:rsid w:val="00C0368F"/>
    <w:rsid w:val="00C036A3"/>
    <w:rsid w:val="00C03CE4"/>
    <w:rsid w:val="00C03DBE"/>
    <w:rsid w:val="00C03E94"/>
    <w:rsid w:val="00C04709"/>
    <w:rsid w:val="00C04BCC"/>
    <w:rsid w:val="00C04C74"/>
    <w:rsid w:val="00C05631"/>
    <w:rsid w:val="00C06234"/>
    <w:rsid w:val="00C069B9"/>
    <w:rsid w:val="00C06F5B"/>
    <w:rsid w:val="00C07075"/>
    <w:rsid w:val="00C07250"/>
    <w:rsid w:val="00C07549"/>
    <w:rsid w:val="00C07890"/>
    <w:rsid w:val="00C07E89"/>
    <w:rsid w:val="00C07FC4"/>
    <w:rsid w:val="00C10343"/>
    <w:rsid w:val="00C10642"/>
    <w:rsid w:val="00C11467"/>
    <w:rsid w:val="00C116FB"/>
    <w:rsid w:val="00C11A74"/>
    <w:rsid w:val="00C11D7B"/>
    <w:rsid w:val="00C12017"/>
    <w:rsid w:val="00C1261E"/>
    <w:rsid w:val="00C12625"/>
    <w:rsid w:val="00C12BB5"/>
    <w:rsid w:val="00C12F35"/>
    <w:rsid w:val="00C13183"/>
    <w:rsid w:val="00C13B7E"/>
    <w:rsid w:val="00C13C98"/>
    <w:rsid w:val="00C13D48"/>
    <w:rsid w:val="00C14078"/>
    <w:rsid w:val="00C141EB"/>
    <w:rsid w:val="00C144E6"/>
    <w:rsid w:val="00C14B0B"/>
    <w:rsid w:val="00C14BA5"/>
    <w:rsid w:val="00C14EC9"/>
    <w:rsid w:val="00C15058"/>
    <w:rsid w:val="00C152A8"/>
    <w:rsid w:val="00C15328"/>
    <w:rsid w:val="00C15D84"/>
    <w:rsid w:val="00C16085"/>
    <w:rsid w:val="00C16330"/>
    <w:rsid w:val="00C165C8"/>
    <w:rsid w:val="00C16713"/>
    <w:rsid w:val="00C172BF"/>
    <w:rsid w:val="00C1751B"/>
    <w:rsid w:val="00C175EC"/>
    <w:rsid w:val="00C203A5"/>
    <w:rsid w:val="00C203B0"/>
    <w:rsid w:val="00C205E5"/>
    <w:rsid w:val="00C2185A"/>
    <w:rsid w:val="00C221C5"/>
    <w:rsid w:val="00C226F3"/>
    <w:rsid w:val="00C22871"/>
    <w:rsid w:val="00C228F5"/>
    <w:rsid w:val="00C22B7C"/>
    <w:rsid w:val="00C22C2A"/>
    <w:rsid w:val="00C23194"/>
    <w:rsid w:val="00C236C9"/>
    <w:rsid w:val="00C23749"/>
    <w:rsid w:val="00C24481"/>
    <w:rsid w:val="00C24913"/>
    <w:rsid w:val="00C24DDB"/>
    <w:rsid w:val="00C2506B"/>
    <w:rsid w:val="00C25343"/>
    <w:rsid w:val="00C2582C"/>
    <w:rsid w:val="00C25885"/>
    <w:rsid w:val="00C25C92"/>
    <w:rsid w:val="00C25F63"/>
    <w:rsid w:val="00C25F96"/>
    <w:rsid w:val="00C25FD8"/>
    <w:rsid w:val="00C260E7"/>
    <w:rsid w:val="00C26169"/>
    <w:rsid w:val="00C263EF"/>
    <w:rsid w:val="00C267A0"/>
    <w:rsid w:val="00C267A7"/>
    <w:rsid w:val="00C26802"/>
    <w:rsid w:val="00C268B5"/>
    <w:rsid w:val="00C26BDB"/>
    <w:rsid w:val="00C26F76"/>
    <w:rsid w:val="00C273E7"/>
    <w:rsid w:val="00C27631"/>
    <w:rsid w:val="00C27668"/>
    <w:rsid w:val="00C278C6"/>
    <w:rsid w:val="00C278D5"/>
    <w:rsid w:val="00C27D90"/>
    <w:rsid w:val="00C27F21"/>
    <w:rsid w:val="00C30307"/>
    <w:rsid w:val="00C30842"/>
    <w:rsid w:val="00C3084E"/>
    <w:rsid w:val="00C31031"/>
    <w:rsid w:val="00C3152C"/>
    <w:rsid w:val="00C31975"/>
    <w:rsid w:val="00C31C99"/>
    <w:rsid w:val="00C31F4C"/>
    <w:rsid w:val="00C326D6"/>
    <w:rsid w:val="00C32C34"/>
    <w:rsid w:val="00C3303F"/>
    <w:rsid w:val="00C332D0"/>
    <w:rsid w:val="00C33326"/>
    <w:rsid w:val="00C333BE"/>
    <w:rsid w:val="00C33AC1"/>
    <w:rsid w:val="00C34268"/>
    <w:rsid w:val="00C3442C"/>
    <w:rsid w:val="00C34495"/>
    <w:rsid w:val="00C3463A"/>
    <w:rsid w:val="00C346C4"/>
    <w:rsid w:val="00C348BC"/>
    <w:rsid w:val="00C34AD2"/>
    <w:rsid w:val="00C34B02"/>
    <w:rsid w:val="00C34B4B"/>
    <w:rsid w:val="00C353D1"/>
    <w:rsid w:val="00C3567E"/>
    <w:rsid w:val="00C35A97"/>
    <w:rsid w:val="00C35E7D"/>
    <w:rsid w:val="00C35FB6"/>
    <w:rsid w:val="00C362EA"/>
    <w:rsid w:val="00C36744"/>
    <w:rsid w:val="00C36FEE"/>
    <w:rsid w:val="00C37107"/>
    <w:rsid w:val="00C3722C"/>
    <w:rsid w:val="00C37693"/>
    <w:rsid w:val="00C3772E"/>
    <w:rsid w:val="00C37830"/>
    <w:rsid w:val="00C3796F"/>
    <w:rsid w:val="00C37D5E"/>
    <w:rsid w:val="00C40619"/>
    <w:rsid w:val="00C409D5"/>
    <w:rsid w:val="00C40E3F"/>
    <w:rsid w:val="00C40FFB"/>
    <w:rsid w:val="00C413C2"/>
    <w:rsid w:val="00C41AFB"/>
    <w:rsid w:val="00C42065"/>
    <w:rsid w:val="00C420E5"/>
    <w:rsid w:val="00C42219"/>
    <w:rsid w:val="00C428EC"/>
    <w:rsid w:val="00C42E04"/>
    <w:rsid w:val="00C42FFC"/>
    <w:rsid w:val="00C432F5"/>
    <w:rsid w:val="00C43598"/>
    <w:rsid w:val="00C43982"/>
    <w:rsid w:val="00C43D7F"/>
    <w:rsid w:val="00C43E7A"/>
    <w:rsid w:val="00C4460D"/>
    <w:rsid w:val="00C44BEE"/>
    <w:rsid w:val="00C44D7F"/>
    <w:rsid w:val="00C44F11"/>
    <w:rsid w:val="00C45488"/>
    <w:rsid w:val="00C45A84"/>
    <w:rsid w:val="00C462FE"/>
    <w:rsid w:val="00C4654D"/>
    <w:rsid w:val="00C466E6"/>
    <w:rsid w:val="00C4674E"/>
    <w:rsid w:val="00C46C1E"/>
    <w:rsid w:val="00C46CEF"/>
    <w:rsid w:val="00C46DED"/>
    <w:rsid w:val="00C470B3"/>
    <w:rsid w:val="00C472FE"/>
    <w:rsid w:val="00C47332"/>
    <w:rsid w:val="00C474D3"/>
    <w:rsid w:val="00C4792D"/>
    <w:rsid w:val="00C506E0"/>
    <w:rsid w:val="00C50C91"/>
    <w:rsid w:val="00C50DD6"/>
    <w:rsid w:val="00C517EC"/>
    <w:rsid w:val="00C51D44"/>
    <w:rsid w:val="00C51E2C"/>
    <w:rsid w:val="00C51EC1"/>
    <w:rsid w:val="00C520B6"/>
    <w:rsid w:val="00C52110"/>
    <w:rsid w:val="00C52184"/>
    <w:rsid w:val="00C522D0"/>
    <w:rsid w:val="00C523A2"/>
    <w:rsid w:val="00C52B1A"/>
    <w:rsid w:val="00C52CCA"/>
    <w:rsid w:val="00C537AD"/>
    <w:rsid w:val="00C541D2"/>
    <w:rsid w:val="00C54429"/>
    <w:rsid w:val="00C5459E"/>
    <w:rsid w:val="00C545A8"/>
    <w:rsid w:val="00C559E4"/>
    <w:rsid w:val="00C55B6B"/>
    <w:rsid w:val="00C55BEF"/>
    <w:rsid w:val="00C565DD"/>
    <w:rsid w:val="00C56821"/>
    <w:rsid w:val="00C56BE7"/>
    <w:rsid w:val="00C56DAF"/>
    <w:rsid w:val="00C56F76"/>
    <w:rsid w:val="00C57049"/>
    <w:rsid w:val="00C57069"/>
    <w:rsid w:val="00C571F6"/>
    <w:rsid w:val="00C5751B"/>
    <w:rsid w:val="00C57563"/>
    <w:rsid w:val="00C5776B"/>
    <w:rsid w:val="00C578B2"/>
    <w:rsid w:val="00C57A16"/>
    <w:rsid w:val="00C60081"/>
    <w:rsid w:val="00C600BD"/>
    <w:rsid w:val="00C602D0"/>
    <w:rsid w:val="00C610BA"/>
    <w:rsid w:val="00C615C8"/>
    <w:rsid w:val="00C61893"/>
    <w:rsid w:val="00C62B18"/>
    <w:rsid w:val="00C62B4C"/>
    <w:rsid w:val="00C62CFC"/>
    <w:rsid w:val="00C62F85"/>
    <w:rsid w:val="00C63096"/>
    <w:rsid w:val="00C6322B"/>
    <w:rsid w:val="00C63287"/>
    <w:rsid w:val="00C63D7C"/>
    <w:rsid w:val="00C63E3F"/>
    <w:rsid w:val="00C63F8A"/>
    <w:rsid w:val="00C63FEE"/>
    <w:rsid w:val="00C6411C"/>
    <w:rsid w:val="00C644C8"/>
    <w:rsid w:val="00C64668"/>
    <w:rsid w:val="00C64915"/>
    <w:rsid w:val="00C6495E"/>
    <w:rsid w:val="00C65088"/>
    <w:rsid w:val="00C65259"/>
    <w:rsid w:val="00C653AE"/>
    <w:rsid w:val="00C654E0"/>
    <w:rsid w:val="00C65556"/>
    <w:rsid w:val="00C65926"/>
    <w:rsid w:val="00C660DA"/>
    <w:rsid w:val="00C66400"/>
    <w:rsid w:val="00C66544"/>
    <w:rsid w:val="00C67146"/>
    <w:rsid w:val="00C67A10"/>
    <w:rsid w:val="00C67C02"/>
    <w:rsid w:val="00C67D40"/>
    <w:rsid w:val="00C7007C"/>
    <w:rsid w:val="00C701AF"/>
    <w:rsid w:val="00C702EC"/>
    <w:rsid w:val="00C704EC"/>
    <w:rsid w:val="00C70762"/>
    <w:rsid w:val="00C7082E"/>
    <w:rsid w:val="00C70C85"/>
    <w:rsid w:val="00C718D5"/>
    <w:rsid w:val="00C71E7D"/>
    <w:rsid w:val="00C71F6E"/>
    <w:rsid w:val="00C72188"/>
    <w:rsid w:val="00C72A78"/>
    <w:rsid w:val="00C72E43"/>
    <w:rsid w:val="00C735FC"/>
    <w:rsid w:val="00C7377E"/>
    <w:rsid w:val="00C741A5"/>
    <w:rsid w:val="00C74319"/>
    <w:rsid w:val="00C74772"/>
    <w:rsid w:val="00C747CA"/>
    <w:rsid w:val="00C748FD"/>
    <w:rsid w:val="00C74B8B"/>
    <w:rsid w:val="00C74BE1"/>
    <w:rsid w:val="00C74C81"/>
    <w:rsid w:val="00C74E80"/>
    <w:rsid w:val="00C75586"/>
    <w:rsid w:val="00C757C6"/>
    <w:rsid w:val="00C75869"/>
    <w:rsid w:val="00C75EA0"/>
    <w:rsid w:val="00C76262"/>
    <w:rsid w:val="00C76A00"/>
    <w:rsid w:val="00C7775F"/>
    <w:rsid w:val="00C779E7"/>
    <w:rsid w:val="00C8025A"/>
    <w:rsid w:val="00C8056F"/>
    <w:rsid w:val="00C80BF9"/>
    <w:rsid w:val="00C80D4F"/>
    <w:rsid w:val="00C80EAC"/>
    <w:rsid w:val="00C810A1"/>
    <w:rsid w:val="00C81114"/>
    <w:rsid w:val="00C813BB"/>
    <w:rsid w:val="00C81497"/>
    <w:rsid w:val="00C82D0D"/>
    <w:rsid w:val="00C82D23"/>
    <w:rsid w:val="00C82F6E"/>
    <w:rsid w:val="00C83091"/>
    <w:rsid w:val="00C8341D"/>
    <w:rsid w:val="00C83527"/>
    <w:rsid w:val="00C83582"/>
    <w:rsid w:val="00C84630"/>
    <w:rsid w:val="00C848D9"/>
    <w:rsid w:val="00C85138"/>
    <w:rsid w:val="00C85B90"/>
    <w:rsid w:val="00C85CDD"/>
    <w:rsid w:val="00C86035"/>
    <w:rsid w:val="00C86749"/>
    <w:rsid w:val="00C8719E"/>
    <w:rsid w:val="00C87231"/>
    <w:rsid w:val="00C873D3"/>
    <w:rsid w:val="00C87527"/>
    <w:rsid w:val="00C87768"/>
    <w:rsid w:val="00C8782D"/>
    <w:rsid w:val="00C87DC4"/>
    <w:rsid w:val="00C87E54"/>
    <w:rsid w:val="00C90063"/>
    <w:rsid w:val="00C90156"/>
    <w:rsid w:val="00C90173"/>
    <w:rsid w:val="00C9061E"/>
    <w:rsid w:val="00C906AE"/>
    <w:rsid w:val="00C90A37"/>
    <w:rsid w:val="00C90A9A"/>
    <w:rsid w:val="00C90BBD"/>
    <w:rsid w:val="00C91172"/>
    <w:rsid w:val="00C917DF"/>
    <w:rsid w:val="00C92501"/>
    <w:rsid w:val="00C92615"/>
    <w:rsid w:val="00C9278A"/>
    <w:rsid w:val="00C9296A"/>
    <w:rsid w:val="00C934DA"/>
    <w:rsid w:val="00C9408D"/>
    <w:rsid w:val="00C9421C"/>
    <w:rsid w:val="00C94449"/>
    <w:rsid w:val="00C94933"/>
    <w:rsid w:val="00C94AF3"/>
    <w:rsid w:val="00C94D13"/>
    <w:rsid w:val="00C94D35"/>
    <w:rsid w:val="00C94DBF"/>
    <w:rsid w:val="00C95113"/>
    <w:rsid w:val="00C9521C"/>
    <w:rsid w:val="00C95B34"/>
    <w:rsid w:val="00C961AA"/>
    <w:rsid w:val="00C96218"/>
    <w:rsid w:val="00C9641B"/>
    <w:rsid w:val="00C96481"/>
    <w:rsid w:val="00C966DA"/>
    <w:rsid w:val="00C9775A"/>
    <w:rsid w:val="00C97F1C"/>
    <w:rsid w:val="00CA0007"/>
    <w:rsid w:val="00CA0062"/>
    <w:rsid w:val="00CA00F3"/>
    <w:rsid w:val="00CA01E4"/>
    <w:rsid w:val="00CA032F"/>
    <w:rsid w:val="00CA0535"/>
    <w:rsid w:val="00CA0836"/>
    <w:rsid w:val="00CA09C2"/>
    <w:rsid w:val="00CA0B50"/>
    <w:rsid w:val="00CA1119"/>
    <w:rsid w:val="00CA149D"/>
    <w:rsid w:val="00CA14E0"/>
    <w:rsid w:val="00CA186F"/>
    <w:rsid w:val="00CA1CDE"/>
    <w:rsid w:val="00CA1E61"/>
    <w:rsid w:val="00CA2EE6"/>
    <w:rsid w:val="00CA347E"/>
    <w:rsid w:val="00CA3970"/>
    <w:rsid w:val="00CA3A0B"/>
    <w:rsid w:val="00CA3B63"/>
    <w:rsid w:val="00CA3F59"/>
    <w:rsid w:val="00CA406D"/>
    <w:rsid w:val="00CA40ED"/>
    <w:rsid w:val="00CA417C"/>
    <w:rsid w:val="00CA4220"/>
    <w:rsid w:val="00CA505E"/>
    <w:rsid w:val="00CA519A"/>
    <w:rsid w:val="00CA52CA"/>
    <w:rsid w:val="00CA5709"/>
    <w:rsid w:val="00CA589B"/>
    <w:rsid w:val="00CA5B34"/>
    <w:rsid w:val="00CA61E0"/>
    <w:rsid w:val="00CA623A"/>
    <w:rsid w:val="00CA686F"/>
    <w:rsid w:val="00CA6A11"/>
    <w:rsid w:val="00CA6CC5"/>
    <w:rsid w:val="00CA6FA0"/>
    <w:rsid w:val="00CA6FF7"/>
    <w:rsid w:val="00CA7351"/>
    <w:rsid w:val="00CA7B33"/>
    <w:rsid w:val="00CA7CA1"/>
    <w:rsid w:val="00CA7E48"/>
    <w:rsid w:val="00CB005C"/>
    <w:rsid w:val="00CB00D5"/>
    <w:rsid w:val="00CB0184"/>
    <w:rsid w:val="00CB0D80"/>
    <w:rsid w:val="00CB0E20"/>
    <w:rsid w:val="00CB1732"/>
    <w:rsid w:val="00CB18C8"/>
    <w:rsid w:val="00CB1982"/>
    <w:rsid w:val="00CB19BF"/>
    <w:rsid w:val="00CB1B7D"/>
    <w:rsid w:val="00CB1C2C"/>
    <w:rsid w:val="00CB1E40"/>
    <w:rsid w:val="00CB1F64"/>
    <w:rsid w:val="00CB2A40"/>
    <w:rsid w:val="00CB2AC8"/>
    <w:rsid w:val="00CB2C0C"/>
    <w:rsid w:val="00CB31ED"/>
    <w:rsid w:val="00CB32F7"/>
    <w:rsid w:val="00CB3579"/>
    <w:rsid w:val="00CB377F"/>
    <w:rsid w:val="00CB3BC7"/>
    <w:rsid w:val="00CB3E8A"/>
    <w:rsid w:val="00CB4059"/>
    <w:rsid w:val="00CB42F3"/>
    <w:rsid w:val="00CB442E"/>
    <w:rsid w:val="00CB44D3"/>
    <w:rsid w:val="00CB46B1"/>
    <w:rsid w:val="00CB4D18"/>
    <w:rsid w:val="00CB4F87"/>
    <w:rsid w:val="00CB4FB2"/>
    <w:rsid w:val="00CB5154"/>
    <w:rsid w:val="00CB55B5"/>
    <w:rsid w:val="00CB55BC"/>
    <w:rsid w:val="00CB5F0C"/>
    <w:rsid w:val="00CB63EE"/>
    <w:rsid w:val="00CB68BF"/>
    <w:rsid w:val="00CB6CB3"/>
    <w:rsid w:val="00CB6D87"/>
    <w:rsid w:val="00CB6DD6"/>
    <w:rsid w:val="00CB71D0"/>
    <w:rsid w:val="00CB73C8"/>
    <w:rsid w:val="00CB7977"/>
    <w:rsid w:val="00CB7A5F"/>
    <w:rsid w:val="00CB7C77"/>
    <w:rsid w:val="00CB7EE4"/>
    <w:rsid w:val="00CC026C"/>
    <w:rsid w:val="00CC08F5"/>
    <w:rsid w:val="00CC0991"/>
    <w:rsid w:val="00CC0A5A"/>
    <w:rsid w:val="00CC1028"/>
    <w:rsid w:val="00CC1167"/>
    <w:rsid w:val="00CC199C"/>
    <w:rsid w:val="00CC1B74"/>
    <w:rsid w:val="00CC21EF"/>
    <w:rsid w:val="00CC2346"/>
    <w:rsid w:val="00CC2685"/>
    <w:rsid w:val="00CC2831"/>
    <w:rsid w:val="00CC28CA"/>
    <w:rsid w:val="00CC2E50"/>
    <w:rsid w:val="00CC31FD"/>
    <w:rsid w:val="00CC34C0"/>
    <w:rsid w:val="00CC3517"/>
    <w:rsid w:val="00CC390F"/>
    <w:rsid w:val="00CC39B3"/>
    <w:rsid w:val="00CC3D44"/>
    <w:rsid w:val="00CC3D9C"/>
    <w:rsid w:val="00CC4109"/>
    <w:rsid w:val="00CC417E"/>
    <w:rsid w:val="00CC430F"/>
    <w:rsid w:val="00CC4335"/>
    <w:rsid w:val="00CC481E"/>
    <w:rsid w:val="00CC4CC5"/>
    <w:rsid w:val="00CC4EA8"/>
    <w:rsid w:val="00CC5036"/>
    <w:rsid w:val="00CC5292"/>
    <w:rsid w:val="00CC5427"/>
    <w:rsid w:val="00CC543E"/>
    <w:rsid w:val="00CC56AD"/>
    <w:rsid w:val="00CC56B5"/>
    <w:rsid w:val="00CC5CE3"/>
    <w:rsid w:val="00CC5D0B"/>
    <w:rsid w:val="00CC63D5"/>
    <w:rsid w:val="00CC6887"/>
    <w:rsid w:val="00CD04DC"/>
    <w:rsid w:val="00CD0505"/>
    <w:rsid w:val="00CD091C"/>
    <w:rsid w:val="00CD0B68"/>
    <w:rsid w:val="00CD0BA7"/>
    <w:rsid w:val="00CD0C1B"/>
    <w:rsid w:val="00CD0DFC"/>
    <w:rsid w:val="00CD0EF0"/>
    <w:rsid w:val="00CD17AC"/>
    <w:rsid w:val="00CD1B91"/>
    <w:rsid w:val="00CD200B"/>
    <w:rsid w:val="00CD257D"/>
    <w:rsid w:val="00CD273B"/>
    <w:rsid w:val="00CD2A7C"/>
    <w:rsid w:val="00CD2D1C"/>
    <w:rsid w:val="00CD3052"/>
    <w:rsid w:val="00CD3343"/>
    <w:rsid w:val="00CD3709"/>
    <w:rsid w:val="00CD37FA"/>
    <w:rsid w:val="00CD3C44"/>
    <w:rsid w:val="00CD3DFD"/>
    <w:rsid w:val="00CD3E39"/>
    <w:rsid w:val="00CD3EC3"/>
    <w:rsid w:val="00CD3FFF"/>
    <w:rsid w:val="00CD4441"/>
    <w:rsid w:val="00CD4B4A"/>
    <w:rsid w:val="00CD4D4E"/>
    <w:rsid w:val="00CD4D51"/>
    <w:rsid w:val="00CD533F"/>
    <w:rsid w:val="00CD566D"/>
    <w:rsid w:val="00CD5878"/>
    <w:rsid w:val="00CD59F8"/>
    <w:rsid w:val="00CD5C6B"/>
    <w:rsid w:val="00CD5D50"/>
    <w:rsid w:val="00CD642C"/>
    <w:rsid w:val="00CD649E"/>
    <w:rsid w:val="00CD6512"/>
    <w:rsid w:val="00CD6617"/>
    <w:rsid w:val="00CD6682"/>
    <w:rsid w:val="00CD67F1"/>
    <w:rsid w:val="00CD68EB"/>
    <w:rsid w:val="00CD6A95"/>
    <w:rsid w:val="00CD6C89"/>
    <w:rsid w:val="00CD731B"/>
    <w:rsid w:val="00CD7394"/>
    <w:rsid w:val="00CD76B0"/>
    <w:rsid w:val="00CD7BDD"/>
    <w:rsid w:val="00CD7EF8"/>
    <w:rsid w:val="00CE0715"/>
    <w:rsid w:val="00CE08E9"/>
    <w:rsid w:val="00CE092B"/>
    <w:rsid w:val="00CE0FEF"/>
    <w:rsid w:val="00CE1747"/>
    <w:rsid w:val="00CE1F85"/>
    <w:rsid w:val="00CE20E7"/>
    <w:rsid w:val="00CE2338"/>
    <w:rsid w:val="00CE2A0D"/>
    <w:rsid w:val="00CE2B85"/>
    <w:rsid w:val="00CE2C4A"/>
    <w:rsid w:val="00CE2CDF"/>
    <w:rsid w:val="00CE2D8F"/>
    <w:rsid w:val="00CE2F97"/>
    <w:rsid w:val="00CE3288"/>
    <w:rsid w:val="00CE3417"/>
    <w:rsid w:val="00CE3443"/>
    <w:rsid w:val="00CE35C1"/>
    <w:rsid w:val="00CE3964"/>
    <w:rsid w:val="00CE40B3"/>
    <w:rsid w:val="00CE413D"/>
    <w:rsid w:val="00CE4770"/>
    <w:rsid w:val="00CE480B"/>
    <w:rsid w:val="00CE5355"/>
    <w:rsid w:val="00CE55B0"/>
    <w:rsid w:val="00CE56FD"/>
    <w:rsid w:val="00CE580A"/>
    <w:rsid w:val="00CE59DF"/>
    <w:rsid w:val="00CE5AF1"/>
    <w:rsid w:val="00CE5D68"/>
    <w:rsid w:val="00CE696F"/>
    <w:rsid w:val="00CE69F5"/>
    <w:rsid w:val="00CE6D07"/>
    <w:rsid w:val="00CE7204"/>
    <w:rsid w:val="00CE7474"/>
    <w:rsid w:val="00CE74C8"/>
    <w:rsid w:val="00CE7970"/>
    <w:rsid w:val="00CE7BE2"/>
    <w:rsid w:val="00CE7F91"/>
    <w:rsid w:val="00CF00DE"/>
    <w:rsid w:val="00CF010A"/>
    <w:rsid w:val="00CF0384"/>
    <w:rsid w:val="00CF084E"/>
    <w:rsid w:val="00CF0D80"/>
    <w:rsid w:val="00CF15AF"/>
    <w:rsid w:val="00CF186F"/>
    <w:rsid w:val="00CF18B0"/>
    <w:rsid w:val="00CF1C87"/>
    <w:rsid w:val="00CF1EA4"/>
    <w:rsid w:val="00CF203A"/>
    <w:rsid w:val="00CF278F"/>
    <w:rsid w:val="00CF2845"/>
    <w:rsid w:val="00CF2851"/>
    <w:rsid w:val="00CF285D"/>
    <w:rsid w:val="00CF2BD5"/>
    <w:rsid w:val="00CF31CC"/>
    <w:rsid w:val="00CF334E"/>
    <w:rsid w:val="00CF35F7"/>
    <w:rsid w:val="00CF3929"/>
    <w:rsid w:val="00CF3CB9"/>
    <w:rsid w:val="00CF414E"/>
    <w:rsid w:val="00CF4701"/>
    <w:rsid w:val="00CF4970"/>
    <w:rsid w:val="00CF49A0"/>
    <w:rsid w:val="00CF4D41"/>
    <w:rsid w:val="00CF4DF8"/>
    <w:rsid w:val="00CF4F04"/>
    <w:rsid w:val="00CF55D5"/>
    <w:rsid w:val="00CF5A7E"/>
    <w:rsid w:val="00CF5D28"/>
    <w:rsid w:val="00CF5E7F"/>
    <w:rsid w:val="00CF607D"/>
    <w:rsid w:val="00CF6773"/>
    <w:rsid w:val="00CF6C71"/>
    <w:rsid w:val="00CF6CE7"/>
    <w:rsid w:val="00CF7B2D"/>
    <w:rsid w:val="00CF7BFB"/>
    <w:rsid w:val="00CF7D47"/>
    <w:rsid w:val="00CF7D73"/>
    <w:rsid w:val="00CF7F35"/>
    <w:rsid w:val="00D00616"/>
    <w:rsid w:val="00D00976"/>
    <w:rsid w:val="00D00E0A"/>
    <w:rsid w:val="00D00F06"/>
    <w:rsid w:val="00D0177D"/>
    <w:rsid w:val="00D01793"/>
    <w:rsid w:val="00D02016"/>
    <w:rsid w:val="00D02BE9"/>
    <w:rsid w:val="00D03100"/>
    <w:rsid w:val="00D03339"/>
    <w:rsid w:val="00D03435"/>
    <w:rsid w:val="00D03913"/>
    <w:rsid w:val="00D03F5F"/>
    <w:rsid w:val="00D03F8F"/>
    <w:rsid w:val="00D04054"/>
    <w:rsid w:val="00D04218"/>
    <w:rsid w:val="00D043E8"/>
    <w:rsid w:val="00D04764"/>
    <w:rsid w:val="00D048EF"/>
    <w:rsid w:val="00D04A90"/>
    <w:rsid w:val="00D04DDA"/>
    <w:rsid w:val="00D04FA5"/>
    <w:rsid w:val="00D05A0F"/>
    <w:rsid w:val="00D05E2F"/>
    <w:rsid w:val="00D05F13"/>
    <w:rsid w:val="00D05F7C"/>
    <w:rsid w:val="00D062D1"/>
    <w:rsid w:val="00D06658"/>
    <w:rsid w:val="00D0688E"/>
    <w:rsid w:val="00D06A5F"/>
    <w:rsid w:val="00D0710C"/>
    <w:rsid w:val="00D075EA"/>
    <w:rsid w:val="00D07609"/>
    <w:rsid w:val="00D07FB0"/>
    <w:rsid w:val="00D100AB"/>
    <w:rsid w:val="00D10B67"/>
    <w:rsid w:val="00D10E32"/>
    <w:rsid w:val="00D10EE7"/>
    <w:rsid w:val="00D11280"/>
    <w:rsid w:val="00D11599"/>
    <w:rsid w:val="00D11929"/>
    <w:rsid w:val="00D11A8E"/>
    <w:rsid w:val="00D11BFE"/>
    <w:rsid w:val="00D11C12"/>
    <w:rsid w:val="00D11C6E"/>
    <w:rsid w:val="00D11DD1"/>
    <w:rsid w:val="00D1200B"/>
    <w:rsid w:val="00D124F4"/>
    <w:rsid w:val="00D1270F"/>
    <w:rsid w:val="00D132B1"/>
    <w:rsid w:val="00D1341C"/>
    <w:rsid w:val="00D1375A"/>
    <w:rsid w:val="00D13FC2"/>
    <w:rsid w:val="00D14C4B"/>
    <w:rsid w:val="00D1527F"/>
    <w:rsid w:val="00D158B2"/>
    <w:rsid w:val="00D1598B"/>
    <w:rsid w:val="00D1601B"/>
    <w:rsid w:val="00D1613A"/>
    <w:rsid w:val="00D16526"/>
    <w:rsid w:val="00D16656"/>
    <w:rsid w:val="00D169B6"/>
    <w:rsid w:val="00D16A8A"/>
    <w:rsid w:val="00D16CE0"/>
    <w:rsid w:val="00D16E8C"/>
    <w:rsid w:val="00D1707D"/>
    <w:rsid w:val="00D17AA8"/>
    <w:rsid w:val="00D17AD8"/>
    <w:rsid w:val="00D17CAE"/>
    <w:rsid w:val="00D200D5"/>
    <w:rsid w:val="00D2012A"/>
    <w:rsid w:val="00D205FA"/>
    <w:rsid w:val="00D20AC1"/>
    <w:rsid w:val="00D20AE5"/>
    <w:rsid w:val="00D20B17"/>
    <w:rsid w:val="00D21152"/>
    <w:rsid w:val="00D21654"/>
    <w:rsid w:val="00D21693"/>
    <w:rsid w:val="00D21733"/>
    <w:rsid w:val="00D2176F"/>
    <w:rsid w:val="00D21C25"/>
    <w:rsid w:val="00D21D17"/>
    <w:rsid w:val="00D21EF7"/>
    <w:rsid w:val="00D21FEC"/>
    <w:rsid w:val="00D2228D"/>
    <w:rsid w:val="00D2243A"/>
    <w:rsid w:val="00D224CE"/>
    <w:rsid w:val="00D224F3"/>
    <w:rsid w:val="00D228EB"/>
    <w:rsid w:val="00D229CC"/>
    <w:rsid w:val="00D22B27"/>
    <w:rsid w:val="00D231A9"/>
    <w:rsid w:val="00D234DA"/>
    <w:rsid w:val="00D241CE"/>
    <w:rsid w:val="00D24239"/>
    <w:rsid w:val="00D2455F"/>
    <w:rsid w:val="00D24B42"/>
    <w:rsid w:val="00D250E9"/>
    <w:rsid w:val="00D254EE"/>
    <w:rsid w:val="00D257DC"/>
    <w:rsid w:val="00D25B1E"/>
    <w:rsid w:val="00D25DCA"/>
    <w:rsid w:val="00D2613F"/>
    <w:rsid w:val="00D26246"/>
    <w:rsid w:val="00D263D5"/>
    <w:rsid w:val="00D26419"/>
    <w:rsid w:val="00D264C6"/>
    <w:rsid w:val="00D2690D"/>
    <w:rsid w:val="00D26C98"/>
    <w:rsid w:val="00D27054"/>
    <w:rsid w:val="00D273DE"/>
    <w:rsid w:val="00D278F7"/>
    <w:rsid w:val="00D27ABA"/>
    <w:rsid w:val="00D27C78"/>
    <w:rsid w:val="00D27DCE"/>
    <w:rsid w:val="00D3004C"/>
    <w:rsid w:val="00D300B3"/>
    <w:rsid w:val="00D30B61"/>
    <w:rsid w:val="00D310AA"/>
    <w:rsid w:val="00D31226"/>
    <w:rsid w:val="00D31523"/>
    <w:rsid w:val="00D31D9F"/>
    <w:rsid w:val="00D31E5F"/>
    <w:rsid w:val="00D324C3"/>
    <w:rsid w:val="00D3265C"/>
    <w:rsid w:val="00D32B27"/>
    <w:rsid w:val="00D32D9C"/>
    <w:rsid w:val="00D32F25"/>
    <w:rsid w:val="00D32FF8"/>
    <w:rsid w:val="00D33CD3"/>
    <w:rsid w:val="00D33F91"/>
    <w:rsid w:val="00D34941"/>
    <w:rsid w:val="00D349BB"/>
    <w:rsid w:val="00D34B7F"/>
    <w:rsid w:val="00D350C8"/>
    <w:rsid w:val="00D357A8"/>
    <w:rsid w:val="00D358CC"/>
    <w:rsid w:val="00D35E00"/>
    <w:rsid w:val="00D35F55"/>
    <w:rsid w:val="00D3617B"/>
    <w:rsid w:val="00D3682E"/>
    <w:rsid w:val="00D36966"/>
    <w:rsid w:val="00D36A84"/>
    <w:rsid w:val="00D37310"/>
    <w:rsid w:val="00D37367"/>
    <w:rsid w:val="00D377AD"/>
    <w:rsid w:val="00D377F0"/>
    <w:rsid w:val="00D37981"/>
    <w:rsid w:val="00D4002A"/>
    <w:rsid w:val="00D40557"/>
    <w:rsid w:val="00D40735"/>
    <w:rsid w:val="00D40AF0"/>
    <w:rsid w:val="00D412E5"/>
    <w:rsid w:val="00D41408"/>
    <w:rsid w:val="00D42322"/>
    <w:rsid w:val="00D42678"/>
    <w:rsid w:val="00D429CF"/>
    <w:rsid w:val="00D42BFA"/>
    <w:rsid w:val="00D42D39"/>
    <w:rsid w:val="00D432DF"/>
    <w:rsid w:val="00D43364"/>
    <w:rsid w:val="00D43400"/>
    <w:rsid w:val="00D44292"/>
    <w:rsid w:val="00D44386"/>
    <w:rsid w:val="00D447C4"/>
    <w:rsid w:val="00D447F6"/>
    <w:rsid w:val="00D44C41"/>
    <w:rsid w:val="00D4503C"/>
    <w:rsid w:val="00D453E9"/>
    <w:rsid w:val="00D458AA"/>
    <w:rsid w:val="00D45E09"/>
    <w:rsid w:val="00D46180"/>
    <w:rsid w:val="00D462CC"/>
    <w:rsid w:val="00D4632E"/>
    <w:rsid w:val="00D4699A"/>
    <w:rsid w:val="00D46E75"/>
    <w:rsid w:val="00D47564"/>
    <w:rsid w:val="00D47C86"/>
    <w:rsid w:val="00D504A1"/>
    <w:rsid w:val="00D504CF"/>
    <w:rsid w:val="00D505CA"/>
    <w:rsid w:val="00D50E4F"/>
    <w:rsid w:val="00D5115F"/>
    <w:rsid w:val="00D513BC"/>
    <w:rsid w:val="00D513F8"/>
    <w:rsid w:val="00D51548"/>
    <w:rsid w:val="00D51D44"/>
    <w:rsid w:val="00D5237A"/>
    <w:rsid w:val="00D52654"/>
    <w:rsid w:val="00D5271B"/>
    <w:rsid w:val="00D52ECE"/>
    <w:rsid w:val="00D52F48"/>
    <w:rsid w:val="00D531DE"/>
    <w:rsid w:val="00D5324B"/>
    <w:rsid w:val="00D53955"/>
    <w:rsid w:val="00D53F55"/>
    <w:rsid w:val="00D54376"/>
    <w:rsid w:val="00D54B3A"/>
    <w:rsid w:val="00D54B92"/>
    <w:rsid w:val="00D54FCB"/>
    <w:rsid w:val="00D5501D"/>
    <w:rsid w:val="00D550B6"/>
    <w:rsid w:val="00D550E6"/>
    <w:rsid w:val="00D551AA"/>
    <w:rsid w:val="00D55366"/>
    <w:rsid w:val="00D55681"/>
    <w:rsid w:val="00D5647C"/>
    <w:rsid w:val="00D5648A"/>
    <w:rsid w:val="00D564AA"/>
    <w:rsid w:val="00D56625"/>
    <w:rsid w:val="00D5677D"/>
    <w:rsid w:val="00D56806"/>
    <w:rsid w:val="00D5689B"/>
    <w:rsid w:val="00D56B9E"/>
    <w:rsid w:val="00D56C18"/>
    <w:rsid w:val="00D56DDC"/>
    <w:rsid w:val="00D56E4D"/>
    <w:rsid w:val="00D56E67"/>
    <w:rsid w:val="00D570A8"/>
    <w:rsid w:val="00D570DC"/>
    <w:rsid w:val="00D5716B"/>
    <w:rsid w:val="00D5755E"/>
    <w:rsid w:val="00D57616"/>
    <w:rsid w:val="00D578C5"/>
    <w:rsid w:val="00D57ADF"/>
    <w:rsid w:val="00D57C92"/>
    <w:rsid w:val="00D60121"/>
    <w:rsid w:val="00D60342"/>
    <w:rsid w:val="00D6045F"/>
    <w:rsid w:val="00D605D6"/>
    <w:rsid w:val="00D608CA"/>
    <w:rsid w:val="00D60AEB"/>
    <w:rsid w:val="00D60FEE"/>
    <w:rsid w:val="00D611AD"/>
    <w:rsid w:val="00D62259"/>
    <w:rsid w:val="00D62623"/>
    <w:rsid w:val="00D6269D"/>
    <w:rsid w:val="00D6322D"/>
    <w:rsid w:val="00D63479"/>
    <w:rsid w:val="00D63580"/>
    <w:rsid w:val="00D6365C"/>
    <w:rsid w:val="00D637B2"/>
    <w:rsid w:val="00D63C6D"/>
    <w:rsid w:val="00D63CCD"/>
    <w:rsid w:val="00D63D91"/>
    <w:rsid w:val="00D63DAD"/>
    <w:rsid w:val="00D64A06"/>
    <w:rsid w:val="00D64C36"/>
    <w:rsid w:val="00D65150"/>
    <w:rsid w:val="00D6515C"/>
    <w:rsid w:val="00D6534E"/>
    <w:rsid w:val="00D65660"/>
    <w:rsid w:val="00D6587F"/>
    <w:rsid w:val="00D658AE"/>
    <w:rsid w:val="00D658D6"/>
    <w:rsid w:val="00D65D87"/>
    <w:rsid w:val="00D65DFC"/>
    <w:rsid w:val="00D66558"/>
    <w:rsid w:val="00D6664A"/>
    <w:rsid w:val="00D6696D"/>
    <w:rsid w:val="00D66D20"/>
    <w:rsid w:val="00D66DE9"/>
    <w:rsid w:val="00D66E20"/>
    <w:rsid w:val="00D67ACD"/>
    <w:rsid w:val="00D67F22"/>
    <w:rsid w:val="00D7051B"/>
    <w:rsid w:val="00D70D05"/>
    <w:rsid w:val="00D70D5E"/>
    <w:rsid w:val="00D715F9"/>
    <w:rsid w:val="00D717A6"/>
    <w:rsid w:val="00D721D6"/>
    <w:rsid w:val="00D72447"/>
    <w:rsid w:val="00D725CF"/>
    <w:rsid w:val="00D72836"/>
    <w:rsid w:val="00D72D5D"/>
    <w:rsid w:val="00D731BE"/>
    <w:rsid w:val="00D73384"/>
    <w:rsid w:val="00D734EC"/>
    <w:rsid w:val="00D7361F"/>
    <w:rsid w:val="00D736AA"/>
    <w:rsid w:val="00D73B97"/>
    <w:rsid w:val="00D73DCD"/>
    <w:rsid w:val="00D73E86"/>
    <w:rsid w:val="00D74104"/>
    <w:rsid w:val="00D74475"/>
    <w:rsid w:val="00D744C7"/>
    <w:rsid w:val="00D748D3"/>
    <w:rsid w:val="00D74AC4"/>
    <w:rsid w:val="00D750FB"/>
    <w:rsid w:val="00D75151"/>
    <w:rsid w:val="00D75244"/>
    <w:rsid w:val="00D75AF5"/>
    <w:rsid w:val="00D75D20"/>
    <w:rsid w:val="00D75E0E"/>
    <w:rsid w:val="00D76590"/>
    <w:rsid w:val="00D76E63"/>
    <w:rsid w:val="00D76EED"/>
    <w:rsid w:val="00D77185"/>
    <w:rsid w:val="00D77267"/>
    <w:rsid w:val="00D77839"/>
    <w:rsid w:val="00D77D60"/>
    <w:rsid w:val="00D8022C"/>
    <w:rsid w:val="00D80313"/>
    <w:rsid w:val="00D803B4"/>
    <w:rsid w:val="00D809E6"/>
    <w:rsid w:val="00D80DC2"/>
    <w:rsid w:val="00D80E7F"/>
    <w:rsid w:val="00D80FDA"/>
    <w:rsid w:val="00D81054"/>
    <w:rsid w:val="00D8117F"/>
    <w:rsid w:val="00D81802"/>
    <w:rsid w:val="00D81980"/>
    <w:rsid w:val="00D81FF1"/>
    <w:rsid w:val="00D8201F"/>
    <w:rsid w:val="00D8216D"/>
    <w:rsid w:val="00D824E3"/>
    <w:rsid w:val="00D82627"/>
    <w:rsid w:val="00D82852"/>
    <w:rsid w:val="00D82889"/>
    <w:rsid w:val="00D82A0F"/>
    <w:rsid w:val="00D82A7C"/>
    <w:rsid w:val="00D8301A"/>
    <w:rsid w:val="00D83170"/>
    <w:rsid w:val="00D83235"/>
    <w:rsid w:val="00D8324C"/>
    <w:rsid w:val="00D83250"/>
    <w:rsid w:val="00D8340B"/>
    <w:rsid w:val="00D835D3"/>
    <w:rsid w:val="00D838F0"/>
    <w:rsid w:val="00D83983"/>
    <w:rsid w:val="00D83AFA"/>
    <w:rsid w:val="00D83D87"/>
    <w:rsid w:val="00D84853"/>
    <w:rsid w:val="00D84B4E"/>
    <w:rsid w:val="00D84CD1"/>
    <w:rsid w:val="00D84DCD"/>
    <w:rsid w:val="00D84DDB"/>
    <w:rsid w:val="00D85178"/>
    <w:rsid w:val="00D8543A"/>
    <w:rsid w:val="00D8584A"/>
    <w:rsid w:val="00D85CD8"/>
    <w:rsid w:val="00D85CE4"/>
    <w:rsid w:val="00D860ED"/>
    <w:rsid w:val="00D8635A"/>
    <w:rsid w:val="00D86A06"/>
    <w:rsid w:val="00D86C4D"/>
    <w:rsid w:val="00D8720A"/>
    <w:rsid w:val="00D87FF8"/>
    <w:rsid w:val="00D90127"/>
    <w:rsid w:val="00D90255"/>
    <w:rsid w:val="00D9065A"/>
    <w:rsid w:val="00D9070D"/>
    <w:rsid w:val="00D91325"/>
    <w:rsid w:val="00D9137D"/>
    <w:rsid w:val="00D9156D"/>
    <w:rsid w:val="00D91DB5"/>
    <w:rsid w:val="00D91F91"/>
    <w:rsid w:val="00D926B7"/>
    <w:rsid w:val="00D92F09"/>
    <w:rsid w:val="00D93508"/>
    <w:rsid w:val="00D93592"/>
    <w:rsid w:val="00D935AF"/>
    <w:rsid w:val="00D93686"/>
    <w:rsid w:val="00D938EC"/>
    <w:rsid w:val="00D93D11"/>
    <w:rsid w:val="00D93F32"/>
    <w:rsid w:val="00D9422C"/>
    <w:rsid w:val="00D94405"/>
    <w:rsid w:val="00D94575"/>
    <w:rsid w:val="00D9497B"/>
    <w:rsid w:val="00D95116"/>
    <w:rsid w:val="00D95378"/>
    <w:rsid w:val="00D95910"/>
    <w:rsid w:val="00D95A6D"/>
    <w:rsid w:val="00D95BF5"/>
    <w:rsid w:val="00D95C5B"/>
    <w:rsid w:val="00D95E78"/>
    <w:rsid w:val="00D96004"/>
    <w:rsid w:val="00D96290"/>
    <w:rsid w:val="00D963A6"/>
    <w:rsid w:val="00D969B3"/>
    <w:rsid w:val="00D96C83"/>
    <w:rsid w:val="00D97259"/>
    <w:rsid w:val="00D97420"/>
    <w:rsid w:val="00D975E8"/>
    <w:rsid w:val="00D9781E"/>
    <w:rsid w:val="00D97B1F"/>
    <w:rsid w:val="00D97E0E"/>
    <w:rsid w:val="00D97F59"/>
    <w:rsid w:val="00DA0D46"/>
    <w:rsid w:val="00DA0EF4"/>
    <w:rsid w:val="00DA13C6"/>
    <w:rsid w:val="00DA21F4"/>
    <w:rsid w:val="00DA2346"/>
    <w:rsid w:val="00DA3137"/>
    <w:rsid w:val="00DA357B"/>
    <w:rsid w:val="00DA3629"/>
    <w:rsid w:val="00DA37B3"/>
    <w:rsid w:val="00DA37BB"/>
    <w:rsid w:val="00DA3DE5"/>
    <w:rsid w:val="00DA3F2A"/>
    <w:rsid w:val="00DA412A"/>
    <w:rsid w:val="00DA4590"/>
    <w:rsid w:val="00DA45AC"/>
    <w:rsid w:val="00DA4A98"/>
    <w:rsid w:val="00DA4AAC"/>
    <w:rsid w:val="00DA532E"/>
    <w:rsid w:val="00DA547A"/>
    <w:rsid w:val="00DA564D"/>
    <w:rsid w:val="00DA5827"/>
    <w:rsid w:val="00DA5C88"/>
    <w:rsid w:val="00DA5E1A"/>
    <w:rsid w:val="00DA61D9"/>
    <w:rsid w:val="00DA6705"/>
    <w:rsid w:val="00DA6F4C"/>
    <w:rsid w:val="00DA6F94"/>
    <w:rsid w:val="00DA7354"/>
    <w:rsid w:val="00DA779D"/>
    <w:rsid w:val="00DA78A5"/>
    <w:rsid w:val="00DA7ED0"/>
    <w:rsid w:val="00DB000C"/>
    <w:rsid w:val="00DB0551"/>
    <w:rsid w:val="00DB05AB"/>
    <w:rsid w:val="00DB09AE"/>
    <w:rsid w:val="00DB0AAA"/>
    <w:rsid w:val="00DB128A"/>
    <w:rsid w:val="00DB1594"/>
    <w:rsid w:val="00DB1D80"/>
    <w:rsid w:val="00DB2335"/>
    <w:rsid w:val="00DB2B5D"/>
    <w:rsid w:val="00DB2B77"/>
    <w:rsid w:val="00DB313B"/>
    <w:rsid w:val="00DB3172"/>
    <w:rsid w:val="00DB31E4"/>
    <w:rsid w:val="00DB3466"/>
    <w:rsid w:val="00DB3479"/>
    <w:rsid w:val="00DB356A"/>
    <w:rsid w:val="00DB35A3"/>
    <w:rsid w:val="00DB37F9"/>
    <w:rsid w:val="00DB38D8"/>
    <w:rsid w:val="00DB3A70"/>
    <w:rsid w:val="00DB3BD2"/>
    <w:rsid w:val="00DB3C88"/>
    <w:rsid w:val="00DB3F9D"/>
    <w:rsid w:val="00DB403E"/>
    <w:rsid w:val="00DB42B4"/>
    <w:rsid w:val="00DB4728"/>
    <w:rsid w:val="00DB47DF"/>
    <w:rsid w:val="00DB4D13"/>
    <w:rsid w:val="00DB4FA5"/>
    <w:rsid w:val="00DB50B1"/>
    <w:rsid w:val="00DB50EC"/>
    <w:rsid w:val="00DB51D5"/>
    <w:rsid w:val="00DB545B"/>
    <w:rsid w:val="00DB6180"/>
    <w:rsid w:val="00DB61E2"/>
    <w:rsid w:val="00DB650E"/>
    <w:rsid w:val="00DB6647"/>
    <w:rsid w:val="00DB66CE"/>
    <w:rsid w:val="00DB67FF"/>
    <w:rsid w:val="00DB682D"/>
    <w:rsid w:val="00DB6A1D"/>
    <w:rsid w:val="00DB701E"/>
    <w:rsid w:val="00DB741D"/>
    <w:rsid w:val="00DB78A9"/>
    <w:rsid w:val="00DC018A"/>
    <w:rsid w:val="00DC01FD"/>
    <w:rsid w:val="00DC02D3"/>
    <w:rsid w:val="00DC038A"/>
    <w:rsid w:val="00DC0C15"/>
    <w:rsid w:val="00DC0F3E"/>
    <w:rsid w:val="00DC157D"/>
    <w:rsid w:val="00DC199A"/>
    <w:rsid w:val="00DC1A30"/>
    <w:rsid w:val="00DC1BA4"/>
    <w:rsid w:val="00DC2307"/>
    <w:rsid w:val="00DC2BD7"/>
    <w:rsid w:val="00DC2E84"/>
    <w:rsid w:val="00DC2EF6"/>
    <w:rsid w:val="00DC3332"/>
    <w:rsid w:val="00DC346E"/>
    <w:rsid w:val="00DC357F"/>
    <w:rsid w:val="00DC3E40"/>
    <w:rsid w:val="00DC4579"/>
    <w:rsid w:val="00DC4ACC"/>
    <w:rsid w:val="00DC4D9D"/>
    <w:rsid w:val="00DC56BB"/>
    <w:rsid w:val="00DC5754"/>
    <w:rsid w:val="00DC59B5"/>
    <w:rsid w:val="00DC5B73"/>
    <w:rsid w:val="00DC5F6C"/>
    <w:rsid w:val="00DC6438"/>
    <w:rsid w:val="00DC6670"/>
    <w:rsid w:val="00DC681F"/>
    <w:rsid w:val="00DC6974"/>
    <w:rsid w:val="00DC6A25"/>
    <w:rsid w:val="00DC73C5"/>
    <w:rsid w:val="00DC743A"/>
    <w:rsid w:val="00DC76FB"/>
    <w:rsid w:val="00DC7787"/>
    <w:rsid w:val="00DC7B91"/>
    <w:rsid w:val="00DC7C94"/>
    <w:rsid w:val="00DD0195"/>
    <w:rsid w:val="00DD0A6D"/>
    <w:rsid w:val="00DD106E"/>
    <w:rsid w:val="00DD116B"/>
    <w:rsid w:val="00DD12F2"/>
    <w:rsid w:val="00DD1621"/>
    <w:rsid w:val="00DD1A47"/>
    <w:rsid w:val="00DD245E"/>
    <w:rsid w:val="00DD27BB"/>
    <w:rsid w:val="00DD3171"/>
    <w:rsid w:val="00DD373E"/>
    <w:rsid w:val="00DD3C9F"/>
    <w:rsid w:val="00DD3FEE"/>
    <w:rsid w:val="00DD4427"/>
    <w:rsid w:val="00DD48C7"/>
    <w:rsid w:val="00DD48D9"/>
    <w:rsid w:val="00DD4904"/>
    <w:rsid w:val="00DD4B69"/>
    <w:rsid w:val="00DD5910"/>
    <w:rsid w:val="00DD591D"/>
    <w:rsid w:val="00DD5EB7"/>
    <w:rsid w:val="00DD6291"/>
    <w:rsid w:val="00DD6734"/>
    <w:rsid w:val="00DD68C2"/>
    <w:rsid w:val="00DD6CCC"/>
    <w:rsid w:val="00DD7093"/>
    <w:rsid w:val="00DD72A8"/>
    <w:rsid w:val="00DD72F8"/>
    <w:rsid w:val="00DD7304"/>
    <w:rsid w:val="00DD779D"/>
    <w:rsid w:val="00DD7AE3"/>
    <w:rsid w:val="00DD7B85"/>
    <w:rsid w:val="00DD7BFA"/>
    <w:rsid w:val="00DD7D99"/>
    <w:rsid w:val="00DD7E84"/>
    <w:rsid w:val="00DD7F58"/>
    <w:rsid w:val="00DE06AD"/>
    <w:rsid w:val="00DE0857"/>
    <w:rsid w:val="00DE11C5"/>
    <w:rsid w:val="00DE13D5"/>
    <w:rsid w:val="00DE1A57"/>
    <w:rsid w:val="00DE1CF4"/>
    <w:rsid w:val="00DE2278"/>
    <w:rsid w:val="00DE22BB"/>
    <w:rsid w:val="00DE25C9"/>
    <w:rsid w:val="00DE2A5B"/>
    <w:rsid w:val="00DE4564"/>
    <w:rsid w:val="00DE4668"/>
    <w:rsid w:val="00DE4CBC"/>
    <w:rsid w:val="00DE593B"/>
    <w:rsid w:val="00DE5E71"/>
    <w:rsid w:val="00DE699A"/>
    <w:rsid w:val="00DE6D06"/>
    <w:rsid w:val="00DE711D"/>
    <w:rsid w:val="00DE71DC"/>
    <w:rsid w:val="00DE7298"/>
    <w:rsid w:val="00DE7557"/>
    <w:rsid w:val="00DE7A2A"/>
    <w:rsid w:val="00DE7BE2"/>
    <w:rsid w:val="00DE7D7E"/>
    <w:rsid w:val="00DF048E"/>
    <w:rsid w:val="00DF0975"/>
    <w:rsid w:val="00DF0AFF"/>
    <w:rsid w:val="00DF0D8D"/>
    <w:rsid w:val="00DF0EF9"/>
    <w:rsid w:val="00DF0F9E"/>
    <w:rsid w:val="00DF0FAF"/>
    <w:rsid w:val="00DF111A"/>
    <w:rsid w:val="00DF1281"/>
    <w:rsid w:val="00DF14EB"/>
    <w:rsid w:val="00DF1574"/>
    <w:rsid w:val="00DF1835"/>
    <w:rsid w:val="00DF197A"/>
    <w:rsid w:val="00DF199B"/>
    <w:rsid w:val="00DF1D10"/>
    <w:rsid w:val="00DF1E2D"/>
    <w:rsid w:val="00DF2000"/>
    <w:rsid w:val="00DF201C"/>
    <w:rsid w:val="00DF212B"/>
    <w:rsid w:val="00DF2442"/>
    <w:rsid w:val="00DF255E"/>
    <w:rsid w:val="00DF2824"/>
    <w:rsid w:val="00DF28CE"/>
    <w:rsid w:val="00DF2987"/>
    <w:rsid w:val="00DF3378"/>
    <w:rsid w:val="00DF35E3"/>
    <w:rsid w:val="00DF3611"/>
    <w:rsid w:val="00DF3A48"/>
    <w:rsid w:val="00DF3C2D"/>
    <w:rsid w:val="00DF3CDE"/>
    <w:rsid w:val="00DF474E"/>
    <w:rsid w:val="00DF4A8D"/>
    <w:rsid w:val="00DF4BDD"/>
    <w:rsid w:val="00DF4C20"/>
    <w:rsid w:val="00DF4C6B"/>
    <w:rsid w:val="00DF4CAF"/>
    <w:rsid w:val="00DF51A6"/>
    <w:rsid w:val="00DF51AF"/>
    <w:rsid w:val="00DF5633"/>
    <w:rsid w:val="00DF5A72"/>
    <w:rsid w:val="00DF5BC6"/>
    <w:rsid w:val="00DF5D0E"/>
    <w:rsid w:val="00DF6058"/>
    <w:rsid w:val="00DF63C7"/>
    <w:rsid w:val="00DF6BE8"/>
    <w:rsid w:val="00DF6EED"/>
    <w:rsid w:val="00DF70CF"/>
    <w:rsid w:val="00DF73B5"/>
    <w:rsid w:val="00DF73DD"/>
    <w:rsid w:val="00DF783B"/>
    <w:rsid w:val="00DF7C4C"/>
    <w:rsid w:val="00DF7E27"/>
    <w:rsid w:val="00DF7EB3"/>
    <w:rsid w:val="00E0045D"/>
    <w:rsid w:val="00E0078C"/>
    <w:rsid w:val="00E00960"/>
    <w:rsid w:val="00E00A26"/>
    <w:rsid w:val="00E00B1E"/>
    <w:rsid w:val="00E0113A"/>
    <w:rsid w:val="00E01742"/>
    <w:rsid w:val="00E018B7"/>
    <w:rsid w:val="00E01B57"/>
    <w:rsid w:val="00E01B92"/>
    <w:rsid w:val="00E01EA2"/>
    <w:rsid w:val="00E02049"/>
    <w:rsid w:val="00E027B9"/>
    <w:rsid w:val="00E02866"/>
    <w:rsid w:val="00E02B34"/>
    <w:rsid w:val="00E02C4E"/>
    <w:rsid w:val="00E02DFC"/>
    <w:rsid w:val="00E035A8"/>
    <w:rsid w:val="00E03AED"/>
    <w:rsid w:val="00E03CCB"/>
    <w:rsid w:val="00E03CE7"/>
    <w:rsid w:val="00E03E6C"/>
    <w:rsid w:val="00E04180"/>
    <w:rsid w:val="00E04569"/>
    <w:rsid w:val="00E04AA5"/>
    <w:rsid w:val="00E05008"/>
    <w:rsid w:val="00E05032"/>
    <w:rsid w:val="00E0573F"/>
    <w:rsid w:val="00E05D6F"/>
    <w:rsid w:val="00E05F25"/>
    <w:rsid w:val="00E06231"/>
    <w:rsid w:val="00E064B7"/>
    <w:rsid w:val="00E06795"/>
    <w:rsid w:val="00E069B8"/>
    <w:rsid w:val="00E06BF8"/>
    <w:rsid w:val="00E070DE"/>
    <w:rsid w:val="00E0724D"/>
    <w:rsid w:val="00E073D1"/>
    <w:rsid w:val="00E075F2"/>
    <w:rsid w:val="00E07C33"/>
    <w:rsid w:val="00E10173"/>
    <w:rsid w:val="00E10343"/>
    <w:rsid w:val="00E1044D"/>
    <w:rsid w:val="00E10636"/>
    <w:rsid w:val="00E107B7"/>
    <w:rsid w:val="00E10A17"/>
    <w:rsid w:val="00E111C7"/>
    <w:rsid w:val="00E116FD"/>
    <w:rsid w:val="00E11966"/>
    <w:rsid w:val="00E12206"/>
    <w:rsid w:val="00E1229C"/>
    <w:rsid w:val="00E125E3"/>
    <w:rsid w:val="00E135FF"/>
    <w:rsid w:val="00E13CE9"/>
    <w:rsid w:val="00E13DC1"/>
    <w:rsid w:val="00E13F9F"/>
    <w:rsid w:val="00E14307"/>
    <w:rsid w:val="00E148B6"/>
    <w:rsid w:val="00E14ACF"/>
    <w:rsid w:val="00E14FE5"/>
    <w:rsid w:val="00E15100"/>
    <w:rsid w:val="00E15211"/>
    <w:rsid w:val="00E1530B"/>
    <w:rsid w:val="00E1538E"/>
    <w:rsid w:val="00E1543D"/>
    <w:rsid w:val="00E154F8"/>
    <w:rsid w:val="00E1557E"/>
    <w:rsid w:val="00E15A00"/>
    <w:rsid w:val="00E15D6E"/>
    <w:rsid w:val="00E15E63"/>
    <w:rsid w:val="00E15FAF"/>
    <w:rsid w:val="00E15FC9"/>
    <w:rsid w:val="00E16126"/>
    <w:rsid w:val="00E1615B"/>
    <w:rsid w:val="00E161A5"/>
    <w:rsid w:val="00E166C1"/>
    <w:rsid w:val="00E1689F"/>
    <w:rsid w:val="00E16CAC"/>
    <w:rsid w:val="00E17259"/>
    <w:rsid w:val="00E17789"/>
    <w:rsid w:val="00E17944"/>
    <w:rsid w:val="00E179FD"/>
    <w:rsid w:val="00E17D20"/>
    <w:rsid w:val="00E2017B"/>
    <w:rsid w:val="00E203B4"/>
    <w:rsid w:val="00E205D1"/>
    <w:rsid w:val="00E206FD"/>
    <w:rsid w:val="00E20767"/>
    <w:rsid w:val="00E20BCD"/>
    <w:rsid w:val="00E20C91"/>
    <w:rsid w:val="00E20CE3"/>
    <w:rsid w:val="00E20F6F"/>
    <w:rsid w:val="00E21213"/>
    <w:rsid w:val="00E21239"/>
    <w:rsid w:val="00E21F58"/>
    <w:rsid w:val="00E22312"/>
    <w:rsid w:val="00E22680"/>
    <w:rsid w:val="00E22B93"/>
    <w:rsid w:val="00E23FF0"/>
    <w:rsid w:val="00E24020"/>
    <w:rsid w:val="00E2416F"/>
    <w:rsid w:val="00E246DB"/>
    <w:rsid w:val="00E24A37"/>
    <w:rsid w:val="00E24AE2"/>
    <w:rsid w:val="00E24B05"/>
    <w:rsid w:val="00E24B07"/>
    <w:rsid w:val="00E24BF1"/>
    <w:rsid w:val="00E25241"/>
    <w:rsid w:val="00E25329"/>
    <w:rsid w:val="00E253FE"/>
    <w:rsid w:val="00E2558C"/>
    <w:rsid w:val="00E258BF"/>
    <w:rsid w:val="00E25A83"/>
    <w:rsid w:val="00E26B3B"/>
    <w:rsid w:val="00E26E0A"/>
    <w:rsid w:val="00E2734E"/>
    <w:rsid w:val="00E2746D"/>
    <w:rsid w:val="00E27529"/>
    <w:rsid w:val="00E277BD"/>
    <w:rsid w:val="00E2797A"/>
    <w:rsid w:val="00E27BD2"/>
    <w:rsid w:val="00E30460"/>
    <w:rsid w:val="00E3057F"/>
    <w:rsid w:val="00E30620"/>
    <w:rsid w:val="00E309B6"/>
    <w:rsid w:val="00E309CA"/>
    <w:rsid w:val="00E30B45"/>
    <w:rsid w:val="00E31558"/>
    <w:rsid w:val="00E31C95"/>
    <w:rsid w:val="00E31E1A"/>
    <w:rsid w:val="00E32066"/>
    <w:rsid w:val="00E32A99"/>
    <w:rsid w:val="00E331AA"/>
    <w:rsid w:val="00E33A5A"/>
    <w:rsid w:val="00E33CB9"/>
    <w:rsid w:val="00E343BD"/>
    <w:rsid w:val="00E34913"/>
    <w:rsid w:val="00E34ADA"/>
    <w:rsid w:val="00E34B16"/>
    <w:rsid w:val="00E34D63"/>
    <w:rsid w:val="00E34D73"/>
    <w:rsid w:val="00E34D90"/>
    <w:rsid w:val="00E35A26"/>
    <w:rsid w:val="00E35C77"/>
    <w:rsid w:val="00E35F93"/>
    <w:rsid w:val="00E362B6"/>
    <w:rsid w:val="00E36912"/>
    <w:rsid w:val="00E36B2F"/>
    <w:rsid w:val="00E36DA5"/>
    <w:rsid w:val="00E373C0"/>
    <w:rsid w:val="00E373DA"/>
    <w:rsid w:val="00E37652"/>
    <w:rsid w:val="00E377D8"/>
    <w:rsid w:val="00E37A0D"/>
    <w:rsid w:val="00E37FCC"/>
    <w:rsid w:val="00E400F4"/>
    <w:rsid w:val="00E4079E"/>
    <w:rsid w:val="00E408DB"/>
    <w:rsid w:val="00E41085"/>
    <w:rsid w:val="00E41333"/>
    <w:rsid w:val="00E414E7"/>
    <w:rsid w:val="00E41ED1"/>
    <w:rsid w:val="00E42308"/>
    <w:rsid w:val="00E423DD"/>
    <w:rsid w:val="00E432E7"/>
    <w:rsid w:val="00E43692"/>
    <w:rsid w:val="00E437D2"/>
    <w:rsid w:val="00E4383F"/>
    <w:rsid w:val="00E43978"/>
    <w:rsid w:val="00E43C24"/>
    <w:rsid w:val="00E44342"/>
    <w:rsid w:val="00E443C2"/>
    <w:rsid w:val="00E4441F"/>
    <w:rsid w:val="00E4476D"/>
    <w:rsid w:val="00E44888"/>
    <w:rsid w:val="00E44C41"/>
    <w:rsid w:val="00E44C85"/>
    <w:rsid w:val="00E44E57"/>
    <w:rsid w:val="00E44FD4"/>
    <w:rsid w:val="00E45831"/>
    <w:rsid w:val="00E45BBF"/>
    <w:rsid w:val="00E45C79"/>
    <w:rsid w:val="00E4637D"/>
    <w:rsid w:val="00E4675B"/>
    <w:rsid w:val="00E46910"/>
    <w:rsid w:val="00E476F8"/>
    <w:rsid w:val="00E47D11"/>
    <w:rsid w:val="00E50220"/>
    <w:rsid w:val="00E50866"/>
    <w:rsid w:val="00E50998"/>
    <w:rsid w:val="00E50C33"/>
    <w:rsid w:val="00E50CF3"/>
    <w:rsid w:val="00E50D95"/>
    <w:rsid w:val="00E50DF8"/>
    <w:rsid w:val="00E5169C"/>
    <w:rsid w:val="00E516D0"/>
    <w:rsid w:val="00E51B8A"/>
    <w:rsid w:val="00E51C21"/>
    <w:rsid w:val="00E51F4B"/>
    <w:rsid w:val="00E52AE0"/>
    <w:rsid w:val="00E52EC5"/>
    <w:rsid w:val="00E534A6"/>
    <w:rsid w:val="00E534DA"/>
    <w:rsid w:val="00E53B0A"/>
    <w:rsid w:val="00E53C5E"/>
    <w:rsid w:val="00E53C72"/>
    <w:rsid w:val="00E54094"/>
    <w:rsid w:val="00E544EA"/>
    <w:rsid w:val="00E549BA"/>
    <w:rsid w:val="00E549FD"/>
    <w:rsid w:val="00E54B73"/>
    <w:rsid w:val="00E54CF9"/>
    <w:rsid w:val="00E562A6"/>
    <w:rsid w:val="00E5632B"/>
    <w:rsid w:val="00E567E9"/>
    <w:rsid w:val="00E56DFC"/>
    <w:rsid w:val="00E57818"/>
    <w:rsid w:val="00E57B9E"/>
    <w:rsid w:val="00E57F0C"/>
    <w:rsid w:val="00E600A1"/>
    <w:rsid w:val="00E60105"/>
    <w:rsid w:val="00E602B8"/>
    <w:rsid w:val="00E604D3"/>
    <w:rsid w:val="00E60680"/>
    <w:rsid w:val="00E608DB"/>
    <w:rsid w:val="00E61007"/>
    <w:rsid w:val="00E61138"/>
    <w:rsid w:val="00E614EE"/>
    <w:rsid w:val="00E6188D"/>
    <w:rsid w:val="00E619B1"/>
    <w:rsid w:val="00E61DBE"/>
    <w:rsid w:val="00E62199"/>
    <w:rsid w:val="00E6246E"/>
    <w:rsid w:val="00E624D7"/>
    <w:rsid w:val="00E624ED"/>
    <w:rsid w:val="00E62685"/>
    <w:rsid w:val="00E627A7"/>
    <w:rsid w:val="00E62AB1"/>
    <w:rsid w:val="00E62D7F"/>
    <w:rsid w:val="00E62EEA"/>
    <w:rsid w:val="00E6301A"/>
    <w:rsid w:val="00E63140"/>
    <w:rsid w:val="00E63478"/>
    <w:rsid w:val="00E634D6"/>
    <w:rsid w:val="00E635D7"/>
    <w:rsid w:val="00E636C7"/>
    <w:rsid w:val="00E637EC"/>
    <w:rsid w:val="00E63933"/>
    <w:rsid w:val="00E63BF3"/>
    <w:rsid w:val="00E63DF9"/>
    <w:rsid w:val="00E63F00"/>
    <w:rsid w:val="00E64027"/>
    <w:rsid w:val="00E6438C"/>
    <w:rsid w:val="00E647E9"/>
    <w:rsid w:val="00E64CFA"/>
    <w:rsid w:val="00E6521D"/>
    <w:rsid w:val="00E6548F"/>
    <w:rsid w:val="00E655AD"/>
    <w:rsid w:val="00E6567F"/>
    <w:rsid w:val="00E65862"/>
    <w:rsid w:val="00E662CB"/>
    <w:rsid w:val="00E66E90"/>
    <w:rsid w:val="00E66FB9"/>
    <w:rsid w:val="00E673D6"/>
    <w:rsid w:val="00E6749F"/>
    <w:rsid w:val="00E67AAC"/>
    <w:rsid w:val="00E67EEB"/>
    <w:rsid w:val="00E703F4"/>
    <w:rsid w:val="00E70BC5"/>
    <w:rsid w:val="00E70C8C"/>
    <w:rsid w:val="00E70D59"/>
    <w:rsid w:val="00E70E0F"/>
    <w:rsid w:val="00E70F72"/>
    <w:rsid w:val="00E70FCD"/>
    <w:rsid w:val="00E7109F"/>
    <w:rsid w:val="00E7129C"/>
    <w:rsid w:val="00E71D27"/>
    <w:rsid w:val="00E72753"/>
    <w:rsid w:val="00E72BE9"/>
    <w:rsid w:val="00E72C3C"/>
    <w:rsid w:val="00E72FFD"/>
    <w:rsid w:val="00E73163"/>
    <w:rsid w:val="00E732B4"/>
    <w:rsid w:val="00E739D3"/>
    <w:rsid w:val="00E74013"/>
    <w:rsid w:val="00E7435B"/>
    <w:rsid w:val="00E746C5"/>
    <w:rsid w:val="00E74A7C"/>
    <w:rsid w:val="00E75170"/>
    <w:rsid w:val="00E7535E"/>
    <w:rsid w:val="00E75600"/>
    <w:rsid w:val="00E75626"/>
    <w:rsid w:val="00E75AFB"/>
    <w:rsid w:val="00E75B32"/>
    <w:rsid w:val="00E75EBB"/>
    <w:rsid w:val="00E76159"/>
    <w:rsid w:val="00E762DD"/>
    <w:rsid w:val="00E76423"/>
    <w:rsid w:val="00E767F4"/>
    <w:rsid w:val="00E7685E"/>
    <w:rsid w:val="00E76E01"/>
    <w:rsid w:val="00E77023"/>
    <w:rsid w:val="00E77025"/>
    <w:rsid w:val="00E7743B"/>
    <w:rsid w:val="00E77469"/>
    <w:rsid w:val="00E77568"/>
    <w:rsid w:val="00E77A2A"/>
    <w:rsid w:val="00E8023E"/>
    <w:rsid w:val="00E80295"/>
    <w:rsid w:val="00E80728"/>
    <w:rsid w:val="00E80896"/>
    <w:rsid w:val="00E80A88"/>
    <w:rsid w:val="00E81CCA"/>
    <w:rsid w:val="00E821D1"/>
    <w:rsid w:val="00E8228D"/>
    <w:rsid w:val="00E82948"/>
    <w:rsid w:val="00E82BB2"/>
    <w:rsid w:val="00E82C5B"/>
    <w:rsid w:val="00E82C80"/>
    <w:rsid w:val="00E82CED"/>
    <w:rsid w:val="00E8310E"/>
    <w:rsid w:val="00E8344A"/>
    <w:rsid w:val="00E8365B"/>
    <w:rsid w:val="00E83905"/>
    <w:rsid w:val="00E83C5F"/>
    <w:rsid w:val="00E8426A"/>
    <w:rsid w:val="00E848F3"/>
    <w:rsid w:val="00E84A9D"/>
    <w:rsid w:val="00E84B75"/>
    <w:rsid w:val="00E84C9E"/>
    <w:rsid w:val="00E84F65"/>
    <w:rsid w:val="00E851AB"/>
    <w:rsid w:val="00E853E0"/>
    <w:rsid w:val="00E853E4"/>
    <w:rsid w:val="00E854FB"/>
    <w:rsid w:val="00E8555F"/>
    <w:rsid w:val="00E8575A"/>
    <w:rsid w:val="00E85C3A"/>
    <w:rsid w:val="00E85D98"/>
    <w:rsid w:val="00E85F0C"/>
    <w:rsid w:val="00E8619A"/>
    <w:rsid w:val="00E866EA"/>
    <w:rsid w:val="00E868E4"/>
    <w:rsid w:val="00E86BF2"/>
    <w:rsid w:val="00E8735B"/>
    <w:rsid w:val="00E8746C"/>
    <w:rsid w:val="00E909C5"/>
    <w:rsid w:val="00E90A71"/>
    <w:rsid w:val="00E90A7C"/>
    <w:rsid w:val="00E90CBC"/>
    <w:rsid w:val="00E90D39"/>
    <w:rsid w:val="00E910E4"/>
    <w:rsid w:val="00E911F5"/>
    <w:rsid w:val="00E912E6"/>
    <w:rsid w:val="00E916B8"/>
    <w:rsid w:val="00E91745"/>
    <w:rsid w:val="00E91962"/>
    <w:rsid w:val="00E91DF8"/>
    <w:rsid w:val="00E91E30"/>
    <w:rsid w:val="00E91E79"/>
    <w:rsid w:val="00E91F97"/>
    <w:rsid w:val="00E92044"/>
    <w:rsid w:val="00E921E9"/>
    <w:rsid w:val="00E925CC"/>
    <w:rsid w:val="00E929A5"/>
    <w:rsid w:val="00E92AD0"/>
    <w:rsid w:val="00E92FE3"/>
    <w:rsid w:val="00E938A0"/>
    <w:rsid w:val="00E93F0D"/>
    <w:rsid w:val="00E94145"/>
    <w:rsid w:val="00E947ED"/>
    <w:rsid w:val="00E94E5C"/>
    <w:rsid w:val="00E95093"/>
    <w:rsid w:val="00E9521F"/>
    <w:rsid w:val="00E953C8"/>
    <w:rsid w:val="00E95430"/>
    <w:rsid w:val="00E966A8"/>
    <w:rsid w:val="00E969A1"/>
    <w:rsid w:val="00E969D5"/>
    <w:rsid w:val="00E96DFB"/>
    <w:rsid w:val="00E97247"/>
    <w:rsid w:val="00E974EB"/>
    <w:rsid w:val="00E9781F"/>
    <w:rsid w:val="00E978BC"/>
    <w:rsid w:val="00EA03DB"/>
    <w:rsid w:val="00EA05D1"/>
    <w:rsid w:val="00EA06EA"/>
    <w:rsid w:val="00EA06F1"/>
    <w:rsid w:val="00EA0AF6"/>
    <w:rsid w:val="00EA0C35"/>
    <w:rsid w:val="00EA1027"/>
    <w:rsid w:val="00EA136B"/>
    <w:rsid w:val="00EA1723"/>
    <w:rsid w:val="00EA1781"/>
    <w:rsid w:val="00EA1820"/>
    <w:rsid w:val="00EA18AF"/>
    <w:rsid w:val="00EA1C02"/>
    <w:rsid w:val="00EA1EA3"/>
    <w:rsid w:val="00EA2108"/>
    <w:rsid w:val="00EA22B3"/>
    <w:rsid w:val="00EA2597"/>
    <w:rsid w:val="00EA2601"/>
    <w:rsid w:val="00EA29A0"/>
    <w:rsid w:val="00EA3166"/>
    <w:rsid w:val="00EA33B1"/>
    <w:rsid w:val="00EA3449"/>
    <w:rsid w:val="00EA3460"/>
    <w:rsid w:val="00EA38A6"/>
    <w:rsid w:val="00EA3DD8"/>
    <w:rsid w:val="00EA4082"/>
    <w:rsid w:val="00EA4A7A"/>
    <w:rsid w:val="00EA4AEA"/>
    <w:rsid w:val="00EA5424"/>
    <w:rsid w:val="00EA544B"/>
    <w:rsid w:val="00EA561A"/>
    <w:rsid w:val="00EA5664"/>
    <w:rsid w:val="00EA5718"/>
    <w:rsid w:val="00EA5D61"/>
    <w:rsid w:val="00EA5E64"/>
    <w:rsid w:val="00EA6358"/>
    <w:rsid w:val="00EA6360"/>
    <w:rsid w:val="00EA6788"/>
    <w:rsid w:val="00EA68AB"/>
    <w:rsid w:val="00EA6D1C"/>
    <w:rsid w:val="00EA6D4D"/>
    <w:rsid w:val="00EA6F8F"/>
    <w:rsid w:val="00EA75B5"/>
    <w:rsid w:val="00EA769D"/>
    <w:rsid w:val="00EA7C97"/>
    <w:rsid w:val="00EB00E0"/>
    <w:rsid w:val="00EB073A"/>
    <w:rsid w:val="00EB08FA"/>
    <w:rsid w:val="00EB0968"/>
    <w:rsid w:val="00EB0A6D"/>
    <w:rsid w:val="00EB0C64"/>
    <w:rsid w:val="00EB0DEA"/>
    <w:rsid w:val="00EB1347"/>
    <w:rsid w:val="00EB13E4"/>
    <w:rsid w:val="00EB161E"/>
    <w:rsid w:val="00EB1865"/>
    <w:rsid w:val="00EB1E49"/>
    <w:rsid w:val="00EB2589"/>
    <w:rsid w:val="00EB2883"/>
    <w:rsid w:val="00EB2DE8"/>
    <w:rsid w:val="00EB33EC"/>
    <w:rsid w:val="00EB347A"/>
    <w:rsid w:val="00EB36DA"/>
    <w:rsid w:val="00EB36ED"/>
    <w:rsid w:val="00EB3778"/>
    <w:rsid w:val="00EB38F8"/>
    <w:rsid w:val="00EB3A70"/>
    <w:rsid w:val="00EB3D96"/>
    <w:rsid w:val="00EB420B"/>
    <w:rsid w:val="00EB43BD"/>
    <w:rsid w:val="00EB468C"/>
    <w:rsid w:val="00EB498B"/>
    <w:rsid w:val="00EB49ED"/>
    <w:rsid w:val="00EB4CC6"/>
    <w:rsid w:val="00EB4E29"/>
    <w:rsid w:val="00EB5388"/>
    <w:rsid w:val="00EB5C05"/>
    <w:rsid w:val="00EB5CA7"/>
    <w:rsid w:val="00EB5F88"/>
    <w:rsid w:val="00EB5FA4"/>
    <w:rsid w:val="00EB602A"/>
    <w:rsid w:val="00EB6161"/>
    <w:rsid w:val="00EB668F"/>
    <w:rsid w:val="00EB6974"/>
    <w:rsid w:val="00EB6AA3"/>
    <w:rsid w:val="00EB6B44"/>
    <w:rsid w:val="00EB6C59"/>
    <w:rsid w:val="00EB6EEC"/>
    <w:rsid w:val="00EB6F63"/>
    <w:rsid w:val="00EB733A"/>
    <w:rsid w:val="00EB75A0"/>
    <w:rsid w:val="00EB762E"/>
    <w:rsid w:val="00EB7719"/>
    <w:rsid w:val="00EB793A"/>
    <w:rsid w:val="00EB7A14"/>
    <w:rsid w:val="00EB7BD4"/>
    <w:rsid w:val="00EC03C9"/>
    <w:rsid w:val="00EC0AE8"/>
    <w:rsid w:val="00EC0BBD"/>
    <w:rsid w:val="00EC0DED"/>
    <w:rsid w:val="00EC1635"/>
    <w:rsid w:val="00EC1857"/>
    <w:rsid w:val="00EC195B"/>
    <w:rsid w:val="00EC228A"/>
    <w:rsid w:val="00EC2594"/>
    <w:rsid w:val="00EC2B10"/>
    <w:rsid w:val="00EC2D43"/>
    <w:rsid w:val="00EC2DB6"/>
    <w:rsid w:val="00EC2E72"/>
    <w:rsid w:val="00EC31DD"/>
    <w:rsid w:val="00EC35A5"/>
    <w:rsid w:val="00EC3C3C"/>
    <w:rsid w:val="00EC3DDC"/>
    <w:rsid w:val="00EC3FDA"/>
    <w:rsid w:val="00EC47E3"/>
    <w:rsid w:val="00EC4A06"/>
    <w:rsid w:val="00EC4B14"/>
    <w:rsid w:val="00EC5024"/>
    <w:rsid w:val="00EC5325"/>
    <w:rsid w:val="00EC57A9"/>
    <w:rsid w:val="00EC5BCB"/>
    <w:rsid w:val="00EC5F4E"/>
    <w:rsid w:val="00EC62CB"/>
    <w:rsid w:val="00EC6331"/>
    <w:rsid w:val="00EC63BE"/>
    <w:rsid w:val="00EC66F8"/>
    <w:rsid w:val="00EC6BFD"/>
    <w:rsid w:val="00EC7048"/>
    <w:rsid w:val="00EC71D6"/>
    <w:rsid w:val="00EC724E"/>
    <w:rsid w:val="00EC7302"/>
    <w:rsid w:val="00EC7364"/>
    <w:rsid w:val="00EC7398"/>
    <w:rsid w:val="00EC7C44"/>
    <w:rsid w:val="00EC7CBA"/>
    <w:rsid w:val="00EC7DFE"/>
    <w:rsid w:val="00ED0231"/>
    <w:rsid w:val="00ED02DD"/>
    <w:rsid w:val="00ED04A4"/>
    <w:rsid w:val="00ED0607"/>
    <w:rsid w:val="00ED07D2"/>
    <w:rsid w:val="00ED0E63"/>
    <w:rsid w:val="00ED11E8"/>
    <w:rsid w:val="00ED123A"/>
    <w:rsid w:val="00ED1261"/>
    <w:rsid w:val="00ED148B"/>
    <w:rsid w:val="00ED1D0B"/>
    <w:rsid w:val="00ED1E2F"/>
    <w:rsid w:val="00ED2295"/>
    <w:rsid w:val="00ED2AC6"/>
    <w:rsid w:val="00ED2D61"/>
    <w:rsid w:val="00ED3671"/>
    <w:rsid w:val="00ED38DE"/>
    <w:rsid w:val="00ED3E0D"/>
    <w:rsid w:val="00ED46D7"/>
    <w:rsid w:val="00ED49E4"/>
    <w:rsid w:val="00ED52CC"/>
    <w:rsid w:val="00ED53BD"/>
    <w:rsid w:val="00ED55F1"/>
    <w:rsid w:val="00ED5874"/>
    <w:rsid w:val="00ED5C02"/>
    <w:rsid w:val="00ED67E9"/>
    <w:rsid w:val="00ED7224"/>
    <w:rsid w:val="00ED722A"/>
    <w:rsid w:val="00ED727E"/>
    <w:rsid w:val="00ED730B"/>
    <w:rsid w:val="00ED74B3"/>
    <w:rsid w:val="00ED7678"/>
    <w:rsid w:val="00EE014F"/>
    <w:rsid w:val="00EE028A"/>
    <w:rsid w:val="00EE0D40"/>
    <w:rsid w:val="00EE118C"/>
    <w:rsid w:val="00EE11AF"/>
    <w:rsid w:val="00EE1502"/>
    <w:rsid w:val="00EE1685"/>
    <w:rsid w:val="00EE19FC"/>
    <w:rsid w:val="00EE249C"/>
    <w:rsid w:val="00EE26B0"/>
    <w:rsid w:val="00EE2890"/>
    <w:rsid w:val="00EE2E8F"/>
    <w:rsid w:val="00EE2ED9"/>
    <w:rsid w:val="00EE3342"/>
    <w:rsid w:val="00EE38E7"/>
    <w:rsid w:val="00EE3FD2"/>
    <w:rsid w:val="00EE496E"/>
    <w:rsid w:val="00EE49AF"/>
    <w:rsid w:val="00EE52C8"/>
    <w:rsid w:val="00EE5A0B"/>
    <w:rsid w:val="00EE5A1C"/>
    <w:rsid w:val="00EE5AB7"/>
    <w:rsid w:val="00EE622E"/>
    <w:rsid w:val="00EE6630"/>
    <w:rsid w:val="00EE6981"/>
    <w:rsid w:val="00EE6C0A"/>
    <w:rsid w:val="00EE6E68"/>
    <w:rsid w:val="00EE7336"/>
    <w:rsid w:val="00EE7DA3"/>
    <w:rsid w:val="00EE7DDC"/>
    <w:rsid w:val="00EE7F20"/>
    <w:rsid w:val="00EF0DD2"/>
    <w:rsid w:val="00EF101A"/>
    <w:rsid w:val="00EF103A"/>
    <w:rsid w:val="00EF1B06"/>
    <w:rsid w:val="00EF1E8C"/>
    <w:rsid w:val="00EF22E8"/>
    <w:rsid w:val="00EF23AC"/>
    <w:rsid w:val="00EF2827"/>
    <w:rsid w:val="00EF285F"/>
    <w:rsid w:val="00EF2EA4"/>
    <w:rsid w:val="00EF324F"/>
    <w:rsid w:val="00EF349D"/>
    <w:rsid w:val="00EF351D"/>
    <w:rsid w:val="00EF366C"/>
    <w:rsid w:val="00EF39BE"/>
    <w:rsid w:val="00EF3C32"/>
    <w:rsid w:val="00EF3D27"/>
    <w:rsid w:val="00EF43C3"/>
    <w:rsid w:val="00EF5135"/>
    <w:rsid w:val="00EF55FC"/>
    <w:rsid w:val="00EF5869"/>
    <w:rsid w:val="00EF5C36"/>
    <w:rsid w:val="00EF5F3B"/>
    <w:rsid w:val="00EF5F75"/>
    <w:rsid w:val="00EF6685"/>
    <w:rsid w:val="00EF6878"/>
    <w:rsid w:val="00EF74F9"/>
    <w:rsid w:val="00EF78C9"/>
    <w:rsid w:val="00EF7AFC"/>
    <w:rsid w:val="00EF7C1C"/>
    <w:rsid w:val="00EF7C60"/>
    <w:rsid w:val="00EF7C9F"/>
    <w:rsid w:val="00EF7D6D"/>
    <w:rsid w:val="00EF7F84"/>
    <w:rsid w:val="00F000A7"/>
    <w:rsid w:val="00F00887"/>
    <w:rsid w:val="00F00B88"/>
    <w:rsid w:val="00F00CBC"/>
    <w:rsid w:val="00F00E00"/>
    <w:rsid w:val="00F00F67"/>
    <w:rsid w:val="00F014EF"/>
    <w:rsid w:val="00F01A23"/>
    <w:rsid w:val="00F01ADE"/>
    <w:rsid w:val="00F01B40"/>
    <w:rsid w:val="00F01B90"/>
    <w:rsid w:val="00F01EF5"/>
    <w:rsid w:val="00F01F0F"/>
    <w:rsid w:val="00F01F5F"/>
    <w:rsid w:val="00F02008"/>
    <w:rsid w:val="00F023E8"/>
    <w:rsid w:val="00F0298E"/>
    <w:rsid w:val="00F02E24"/>
    <w:rsid w:val="00F0316E"/>
    <w:rsid w:val="00F0345E"/>
    <w:rsid w:val="00F03562"/>
    <w:rsid w:val="00F03822"/>
    <w:rsid w:val="00F0384A"/>
    <w:rsid w:val="00F03857"/>
    <w:rsid w:val="00F038BD"/>
    <w:rsid w:val="00F03B3A"/>
    <w:rsid w:val="00F03DCA"/>
    <w:rsid w:val="00F03E64"/>
    <w:rsid w:val="00F0414D"/>
    <w:rsid w:val="00F04434"/>
    <w:rsid w:val="00F044B5"/>
    <w:rsid w:val="00F04846"/>
    <w:rsid w:val="00F05790"/>
    <w:rsid w:val="00F0581F"/>
    <w:rsid w:val="00F0602B"/>
    <w:rsid w:val="00F0630E"/>
    <w:rsid w:val="00F0641A"/>
    <w:rsid w:val="00F0664E"/>
    <w:rsid w:val="00F066C6"/>
    <w:rsid w:val="00F06BA5"/>
    <w:rsid w:val="00F06C41"/>
    <w:rsid w:val="00F075EC"/>
    <w:rsid w:val="00F0776D"/>
    <w:rsid w:val="00F079C2"/>
    <w:rsid w:val="00F07E8D"/>
    <w:rsid w:val="00F1020D"/>
    <w:rsid w:val="00F1046E"/>
    <w:rsid w:val="00F1049B"/>
    <w:rsid w:val="00F10C5E"/>
    <w:rsid w:val="00F10E6A"/>
    <w:rsid w:val="00F11029"/>
    <w:rsid w:val="00F11361"/>
    <w:rsid w:val="00F1157A"/>
    <w:rsid w:val="00F117A6"/>
    <w:rsid w:val="00F119E6"/>
    <w:rsid w:val="00F11C99"/>
    <w:rsid w:val="00F12617"/>
    <w:rsid w:val="00F12889"/>
    <w:rsid w:val="00F12A12"/>
    <w:rsid w:val="00F12DB8"/>
    <w:rsid w:val="00F12E37"/>
    <w:rsid w:val="00F12FCC"/>
    <w:rsid w:val="00F131EA"/>
    <w:rsid w:val="00F13277"/>
    <w:rsid w:val="00F136E5"/>
    <w:rsid w:val="00F138D8"/>
    <w:rsid w:val="00F13AB5"/>
    <w:rsid w:val="00F13AB8"/>
    <w:rsid w:val="00F14195"/>
    <w:rsid w:val="00F14721"/>
    <w:rsid w:val="00F1485F"/>
    <w:rsid w:val="00F14999"/>
    <w:rsid w:val="00F149C7"/>
    <w:rsid w:val="00F14C20"/>
    <w:rsid w:val="00F14ECD"/>
    <w:rsid w:val="00F15511"/>
    <w:rsid w:val="00F1593B"/>
    <w:rsid w:val="00F1596A"/>
    <w:rsid w:val="00F15E96"/>
    <w:rsid w:val="00F15EEB"/>
    <w:rsid w:val="00F161FC"/>
    <w:rsid w:val="00F171BF"/>
    <w:rsid w:val="00F177E3"/>
    <w:rsid w:val="00F17A89"/>
    <w:rsid w:val="00F17B69"/>
    <w:rsid w:val="00F17FF6"/>
    <w:rsid w:val="00F2081B"/>
    <w:rsid w:val="00F20986"/>
    <w:rsid w:val="00F20BCC"/>
    <w:rsid w:val="00F20C2B"/>
    <w:rsid w:val="00F2107A"/>
    <w:rsid w:val="00F21135"/>
    <w:rsid w:val="00F21220"/>
    <w:rsid w:val="00F2142F"/>
    <w:rsid w:val="00F21AD9"/>
    <w:rsid w:val="00F220D5"/>
    <w:rsid w:val="00F222EF"/>
    <w:rsid w:val="00F223C2"/>
    <w:rsid w:val="00F22555"/>
    <w:rsid w:val="00F2289F"/>
    <w:rsid w:val="00F2292B"/>
    <w:rsid w:val="00F22A04"/>
    <w:rsid w:val="00F22A70"/>
    <w:rsid w:val="00F22B45"/>
    <w:rsid w:val="00F22FD6"/>
    <w:rsid w:val="00F233A6"/>
    <w:rsid w:val="00F23424"/>
    <w:rsid w:val="00F23B11"/>
    <w:rsid w:val="00F247E6"/>
    <w:rsid w:val="00F24800"/>
    <w:rsid w:val="00F24A06"/>
    <w:rsid w:val="00F25347"/>
    <w:rsid w:val="00F25917"/>
    <w:rsid w:val="00F25A17"/>
    <w:rsid w:val="00F25AB5"/>
    <w:rsid w:val="00F25D7C"/>
    <w:rsid w:val="00F25FE9"/>
    <w:rsid w:val="00F2616E"/>
    <w:rsid w:val="00F2619E"/>
    <w:rsid w:val="00F265D0"/>
    <w:rsid w:val="00F267E4"/>
    <w:rsid w:val="00F26A18"/>
    <w:rsid w:val="00F26B70"/>
    <w:rsid w:val="00F26C40"/>
    <w:rsid w:val="00F26F6A"/>
    <w:rsid w:val="00F271D5"/>
    <w:rsid w:val="00F27473"/>
    <w:rsid w:val="00F27481"/>
    <w:rsid w:val="00F27B14"/>
    <w:rsid w:val="00F30B07"/>
    <w:rsid w:val="00F30DAF"/>
    <w:rsid w:val="00F31521"/>
    <w:rsid w:val="00F31692"/>
    <w:rsid w:val="00F31953"/>
    <w:rsid w:val="00F31A25"/>
    <w:rsid w:val="00F31B07"/>
    <w:rsid w:val="00F31E6A"/>
    <w:rsid w:val="00F31EB5"/>
    <w:rsid w:val="00F31F5F"/>
    <w:rsid w:val="00F32123"/>
    <w:rsid w:val="00F326B6"/>
    <w:rsid w:val="00F32A0A"/>
    <w:rsid w:val="00F32C8F"/>
    <w:rsid w:val="00F334DC"/>
    <w:rsid w:val="00F341D4"/>
    <w:rsid w:val="00F34299"/>
    <w:rsid w:val="00F34391"/>
    <w:rsid w:val="00F34850"/>
    <w:rsid w:val="00F350C2"/>
    <w:rsid w:val="00F354C9"/>
    <w:rsid w:val="00F354CB"/>
    <w:rsid w:val="00F35974"/>
    <w:rsid w:val="00F35C2C"/>
    <w:rsid w:val="00F35FD9"/>
    <w:rsid w:val="00F3695A"/>
    <w:rsid w:val="00F36A11"/>
    <w:rsid w:val="00F36D0D"/>
    <w:rsid w:val="00F36D83"/>
    <w:rsid w:val="00F36EEF"/>
    <w:rsid w:val="00F36F15"/>
    <w:rsid w:val="00F3722D"/>
    <w:rsid w:val="00F37426"/>
    <w:rsid w:val="00F37C25"/>
    <w:rsid w:val="00F37E36"/>
    <w:rsid w:val="00F4013A"/>
    <w:rsid w:val="00F40694"/>
    <w:rsid w:val="00F40B38"/>
    <w:rsid w:val="00F40E5D"/>
    <w:rsid w:val="00F410E5"/>
    <w:rsid w:val="00F41531"/>
    <w:rsid w:val="00F41661"/>
    <w:rsid w:val="00F41697"/>
    <w:rsid w:val="00F41757"/>
    <w:rsid w:val="00F42471"/>
    <w:rsid w:val="00F42BB9"/>
    <w:rsid w:val="00F42BC0"/>
    <w:rsid w:val="00F4312A"/>
    <w:rsid w:val="00F433AB"/>
    <w:rsid w:val="00F43ACD"/>
    <w:rsid w:val="00F43BBB"/>
    <w:rsid w:val="00F43C3E"/>
    <w:rsid w:val="00F44626"/>
    <w:rsid w:val="00F44679"/>
    <w:rsid w:val="00F44EE6"/>
    <w:rsid w:val="00F45450"/>
    <w:rsid w:val="00F45753"/>
    <w:rsid w:val="00F4593E"/>
    <w:rsid w:val="00F45965"/>
    <w:rsid w:val="00F45A90"/>
    <w:rsid w:val="00F45C93"/>
    <w:rsid w:val="00F46030"/>
    <w:rsid w:val="00F4619F"/>
    <w:rsid w:val="00F465D6"/>
    <w:rsid w:val="00F465FF"/>
    <w:rsid w:val="00F4677B"/>
    <w:rsid w:val="00F46B3C"/>
    <w:rsid w:val="00F46D6B"/>
    <w:rsid w:val="00F47280"/>
    <w:rsid w:val="00F4750A"/>
    <w:rsid w:val="00F475AF"/>
    <w:rsid w:val="00F477A7"/>
    <w:rsid w:val="00F47BF4"/>
    <w:rsid w:val="00F47CB6"/>
    <w:rsid w:val="00F47D1C"/>
    <w:rsid w:val="00F500BC"/>
    <w:rsid w:val="00F50320"/>
    <w:rsid w:val="00F50340"/>
    <w:rsid w:val="00F50E04"/>
    <w:rsid w:val="00F50F32"/>
    <w:rsid w:val="00F50F81"/>
    <w:rsid w:val="00F512FB"/>
    <w:rsid w:val="00F51E30"/>
    <w:rsid w:val="00F51F8A"/>
    <w:rsid w:val="00F527DB"/>
    <w:rsid w:val="00F52BE1"/>
    <w:rsid w:val="00F52CF2"/>
    <w:rsid w:val="00F53327"/>
    <w:rsid w:val="00F536B0"/>
    <w:rsid w:val="00F5371E"/>
    <w:rsid w:val="00F53B4F"/>
    <w:rsid w:val="00F53C3B"/>
    <w:rsid w:val="00F5402E"/>
    <w:rsid w:val="00F54367"/>
    <w:rsid w:val="00F54C1F"/>
    <w:rsid w:val="00F54D20"/>
    <w:rsid w:val="00F54D8E"/>
    <w:rsid w:val="00F54EF6"/>
    <w:rsid w:val="00F550AE"/>
    <w:rsid w:val="00F5527F"/>
    <w:rsid w:val="00F557CF"/>
    <w:rsid w:val="00F5581A"/>
    <w:rsid w:val="00F55824"/>
    <w:rsid w:val="00F5605C"/>
    <w:rsid w:val="00F56228"/>
    <w:rsid w:val="00F566BD"/>
    <w:rsid w:val="00F569C4"/>
    <w:rsid w:val="00F56C1D"/>
    <w:rsid w:val="00F56F54"/>
    <w:rsid w:val="00F571FD"/>
    <w:rsid w:val="00F577C7"/>
    <w:rsid w:val="00F57822"/>
    <w:rsid w:val="00F601AF"/>
    <w:rsid w:val="00F60377"/>
    <w:rsid w:val="00F60548"/>
    <w:rsid w:val="00F609D9"/>
    <w:rsid w:val="00F60A9E"/>
    <w:rsid w:val="00F60C83"/>
    <w:rsid w:val="00F60ECB"/>
    <w:rsid w:val="00F6124C"/>
    <w:rsid w:val="00F61980"/>
    <w:rsid w:val="00F61A42"/>
    <w:rsid w:val="00F61EE5"/>
    <w:rsid w:val="00F623AA"/>
    <w:rsid w:val="00F627E9"/>
    <w:rsid w:val="00F62897"/>
    <w:rsid w:val="00F62B53"/>
    <w:rsid w:val="00F62C86"/>
    <w:rsid w:val="00F62C99"/>
    <w:rsid w:val="00F62CBF"/>
    <w:rsid w:val="00F63460"/>
    <w:rsid w:val="00F63D1E"/>
    <w:rsid w:val="00F64146"/>
    <w:rsid w:val="00F6427D"/>
    <w:rsid w:val="00F64734"/>
    <w:rsid w:val="00F64741"/>
    <w:rsid w:val="00F653D9"/>
    <w:rsid w:val="00F659D9"/>
    <w:rsid w:val="00F65D47"/>
    <w:rsid w:val="00F65E8D"/>
    <w:rsid w:val="00F664E9"/>
    <w:rsid w:val="00F665CE"/>
    <w:rsid w:val="00F66838"/>
    <w:rsid w:val="00F66D2F"/>
    <w:rsid w:val="00F67110"/>
    <w:rsid w:val="00F671F0"/>
    <w:rsid w:val="00F677E1"/>
    <w:rsid w:val="00F6780F"/>
    <w:rsid w:val="00F67AE8"/>
    <w:rsid w:val="00F708C2"/>
    <w:rsid w:val="00F70974"/>
    <w:rsid w:val="00F70B57"/>
    <w:rsid w:val="00F70D7E"/>
    <w:rsid w:val="00F70DC2"/>
    <w:rsid w:val="00F70DE7"/>
    <w:rsid w:val="00F71107"/>
    <w:rsid w:val="00F712DE"/>
    <w:rsid w:val="00F7176F"/>
    <w:rsid w:val="00F71E06"/>
    <w:rsid w:val="00F72646"/>
    <w:rsid w:val="00F72CD2"/>
    <w:rsid w:val="00F72DA5"/>
    <w:rsid w:val="00F73310"/>
    <w:rsid w:val="00F734A5"/>
    <w:rsid w:val="00F7350D"/>
    <w:rsid w:val="00F738E0"/>
    <w:rsid w:val="00F739C8"/>
    <w:rsid w:val="00F7400E"/>
    <w:rsid w:val="00F74159"/>
    <w:rsid w:val="00F74551"/>
    <w:rsid w:val="00F747CD"/>
    <w:rsid w:val="00F74C58"/>
    <w:rsid w:val="00F74CA8"/>
    <w:rsid w:val="00F75089"/>
    <w:rsid w:val="00F75134"/>
    <w:rsid w:val="00F75594"/>
    <w:rsid w:val="00F75DEB"/>
    <w:rsid w:val="00F75EA0"/>
    <w:rsid w:val="00F75FF6"/>
    <w:rsid w:val="00F762D7"/>
    <w:rsid w:val="00F7689F"/>
    <w:rsid w:val="00F76CCA"/>
    <w:rsid w:val="00F774AC"/>
    <w:rsid w:val="00F7798D"/>
    <w:rsid w:val="00F77A00"/>
    <w:rsid w:val="00F77F26"/>
    <w:rsid w:val="00F80833"/>
    <w:rsid w:val="00F81044"/>
    <w:rsid w:val="00F81415"/>
    <w:rsid w:val="00F815E0"/>
    <w:rsid w:val="00F81652"/>
    <w:rsid w:val="00F81697"/>
    <w:rsid w:val="00F81D31"/>
    <w:rsid w:val="00F82438"/>
    <w:rsid w:val="00F825CD"/>
    <w:rsid w:val="00F8277B"/>
    <w:rsid w:val="00F82851"/>
    <w:rsid w:val="00F828DD"/>
    <w:rsid w:val="00F828FC"/>
    <w:rsid w:val="00F82B12"/>
    <w:rsid w:val="00F82CA6"/>
    <w:rsid w:val="00F83200"/>
    <w:rsid w:val="00F83227"/>
    <w:rsid w:val="00F83735"/>
    <w:rsid w:val="00F8374B"/>
    <w:rsid w:val="00F83762"/>
    <w:rsid w:val="00F83DDB"/>
    <w:rsid w:val="00F83F57"/>
    <w:rsid w:val="00F848D4"/>
    <w:rsid w:val="00F84E46"/>
    <w:rsid w:val="00F8517E"/>
    <w:rsid w:val="00F85482"/>
    <w:rsid w:val="00F85696"/>
    <w:rsid w:val="00F857BD"/>
    <w:rsid w:val="00F85976"/>
    <w:rsid w:val="00F85AC5"/>
    <w:rsid w:val="00F85AE6"/>
    <w:rsid w:val="00F85C14"/>
    <w:rsid w:val="00F85E80"/>
    <w:rsid w:val="00F86200"/>
    <w:rsid w:val="00F86263"/>
    <w:rsid w:val="00F867B2"/>
    <w:rsid w:val="00F8698E"/>
    <w:rsid w:val="00F86AB1"/>
    <w:rsid w:val="00F86ACE"/>
    <w:rsid w:val="00F86CE6"/>
    <w:rsid w:val="00F86F27"/>
    <w:rsid w:val="00F86F42"/>
    <w:rsid w:val="00F87360"/>
    <w:rsid w:val="00F876A0"/>
    <w:rsid w:val="00F877D5"/>
    <w:rsid w:val="00F87841"/>
    <w:rsid w:val="00F87893"/>
    <w:rsid w:val="00F87F3D"/>
    <w:rsid w:val="00F900F7"/>
    <w:rsid w:val="00F90238"/>
    <w:rsid w:val="00F90290"/>
    <w:rsid w:val="00F90515"/>
    <w:rsid w:val="00F90F07"/>
    <w:rsid w:val="00F91200"/>
    <w:rsid w:val="00F914AE"/>
    <w:rsid w:val="00F918B3"/>
    <w:rsid w:val="00F92025"/>
    <w:rsid w:val="00F925F8"/>
    <w:rsid w:val="00F92BF5"/>
    <w:rsid w:val="00F92C9B"/>
    <w:rsid w:val="00F93124"/>
    <w:rsid w:val="00F9335E"/>
    <w:rsid w:val="00F937D3"/>
    <w:rsid w:val="00F9381A"/>
    <w:rsid w:val="00F93D00"/>
    <w:rsid w:val="00F94087"/>
    <w:rsid w:val="00F94113"/>
    <w:rsid w:val="00F9451B"/>
    <w:rsid w:val="00F94625"/>
    <w:rsid w:val="00F94969"/>
    <w:rsid w:val="00F94BC7"/>
    <w:rsid w:val="00F94D38"/>
    <w:rsid w:val="00F95391"/>
    <w:rsid w:val="00F955F9"/>
    <w:rsid w:val="00F95724"/>
    <w:rsid w:val="00F958C6"/>
    <w:rsid w:val="00F95A36"/>
    <w:rsid w:val="00F960EE"/>
    <w:rsid w:val="00F9684A"/>
    <w:rsid w:val="00F96AEA"/>
    <w:rsid w:val="00F96EAD"/>
    <w:rsid w:val="00F970D3"/>
    <w:rsid w:val="00F97319"/>
    <w:rsid w:val="00F975EB"/>
    <w:rsid w:val="00F979B7"/>
    <w:rsid w:val="00FA0032"/>
    <w:rsid w:val="00FA07B0"/>
    <w:rsid w:val="00FA0807"/>
    <w:rsid w:val="00FA0C78"/>
    <w:rsid w:val="00FA0EB8"/>
    <w:rsid w:val="00FA118E"/>
    <w:rsid w:val="00FA1345"/>
    <w:rsid w:val="00FA14B7"/>
    <w:rsid w:val="00FA1793"/>
    <w:rsid w:val="00FA1868"/>
    <w:rsid w:val="00FA1B85"/>
    <w:rsid w:val="00FA249E"/>
    <w:rsid w:val="00FA2500"/>
    <w:rsid w:val="00FA2851"/>
    <w:rsid w:val="00FA2977"/>
    <w:rsid w:val="00FA2A1F"/>
    <w:rsid w:val="00FA30B6"/>
    <w:rsid w:val="00FA31CF"/>
    <w:rsid w:val="00FA339E"/>
    <w:rsid w:val="00FA3CCA"/>
    <w:rsid w:val="00FA3D9F"/>
    <w:rsid w:val="00FA4195"/>
    <w:rsid w:val="00FA4485"/>
    <w:rsid w:val="00FA465E"/>
    <w:rsid w:val="00FA4A61"/>
    <w:rsid w:val="00FA4BB1"/>
    <w:rsid w:val="00FA4E92"/>
    <w:rsid w:val="00FA515A"/>
    <w:rsid w:val="00FA51E2"/>
    <w:rsid w:val="00FA525D"/>
    <w:rsid w:val="00FA563F"/>
    <w:rsid w:val="00FA591E"/>
    <w:rsid w:val="00FA5BEA"/>
    <w:rsid w:val="00FA60B6"/>
    <w:rsid w:val="00FA62E0"/>
    <w:rsid w:val="00FA6340"/>
    <w:rsid w:val="00FA638B"/>
    <w:rsid w:val="00FA64A2"/>
    <w:rsid w:val="00FA6AFA"/>
    <w:rsid w:val="00FA6E88"/>
    <w:rsid w:val="00FA6FB5"/>
    <w:rsid w:val="00FA73C8"/>
    <w:rsid w:val="00FA7559"/>
    <w:rsid w:val="00FA7592"/>
    <w:rsid w:val="00FA78E5"/>
    <w:rsid w:val="00FB00C2"/>
    <w:rsid w:val="00FB0875"/>
    <w:rsid w:val="00FB0E65"/>
    <w:rsid w:val="00FB183F"/>
    <w:rsid w:val="00FB197C"/>
    <w:rsid w:val="00FB1A91"/>
    <w:rsid w:val="00FB1CEE"/>
    <w:rsid w:val="00FB1E56"/>
    <w:rsid w:val="00FB241F"/>
    <w:rsid w:val="00FB3A69"/>
    <w:rsid w:val="00FB3B05"/>
    <w:rsid w:val="00FB3D14"/>
    <w:rsid w:val="00FB41B5"/>
    <w:rsid w:val="00FB4271"/>
    <w:rsid w:val="00FB43EB"/>
    <w:rsid w:val="00FB44C0"/>
    <w:rsid w:val="00FB4694"/>
    <w:rsid w:val="00FB4B3C"/>
    <w:rsid w:val="00FB4E99"/>
    <w:rsid w:val="00FB52CB"/>
    <w:rsid w:val="00FB5550"/>
    <w:rsid w:val="00FB558B"/>
    <w:rsid w:val="00FB57B3"/>
    <w:rsid w:val="00FB6560"/>
    <w:rsid w:val="00FB6B79"/>
    <w:rsid w:val="00FB7398"/>
    <w:rsid w:val="00FB75B5"/>
    <w:rsid w:val="00FB7ACD"/>
    <w:rsid w:val="00FB7E90"/>
    <w:rsid w:val="00FB7F07"/>
    <w:rsid w:val="00FC017D"/>
    <w:rsid w:val="00FC056A"/>
    <w:rsid w:val="00FC069F"/>
    <w:rsid w:val="00FC0836"/>
    <w:rsid w:val="00FC0E08"/>
    <w:rsid w:val="00FC0F5A"/>
    <w:rsid w:val="00FC108F"/>
    <w:rsid w:val="00FC10B4"/>
    <w:rsid w:val="00FC1614"/>
    <w:rsid w:val="00FC1696"/>
    <w:rsid w:val="00FC25EF"/>
    <w:rsid w:val="00FC29C1"/>
    <w:rsid w:val="00FC2CF0"/>
    <w:rsid w:val="00FC2E2E"/>
    <w:rsid w:val="00FC3608"/>
    <w:rsid w:val="00FC38B5"/>
    <w:rsid w:val="00FC39E4"/>
    <w:rsid w:val="00FC3E6A"/>
    <w:rsid w:val="00FC408C"/>
    <w:rsid w:val="00FC41D3"/>
    <w:rsid w:val="00FC43AB"/>
    <w:rsid w:val="00FC43DB"/>
    <w:rsid w:val="00FC4824"/>
    <w:rsid w:val="00FC49B4"/>
    <w:rsid w:val="00FC502D"/>
    <w:rsid w:val="00FC53B4"/>
    <w:rsid w:val="00FC580D"/>
    <w:rsid w:val="00FC5AA5"/>
    <w:rsid w:val="00FC5C8E"/>
    <w:rsid w:val="00FC5DA2"/>
    <w:rsid w:val="00FC6030"/>
    <w:rsid w:val="00FC68DE"/>
    <w:rsid w:val="00FC6995"/>
    <w:rsid w:val="00FC6EA9"/>
    <w:rsid w:val="00FC71E1"/>
    <w:rsid w:val="00FC7259"/>
    <w:rsid w:val="00FC73D0"/>
    <w:rsid w:val="00FC7471"/>
    <w:rsid w:val="00FC74CA"/>
    <w:rsid w:val="00FC775F"/>
    <w:rsid w:val="00FD02AD"/>
    <w:rsid w:val="00FD03F3"/>
    <w:rsid w:val="00FD0497"/>
    <w:rsid w:val="00FD0677"/>
    <w:rsid w:val="00FD0796"/>
    <w:rsid w:val="00FD0A2C"/>
    <w:rsid w:val="00FD0AAD"/>
    <w:rsid w:val="00FD0AAF"/>
    <w:rsid w:val="00FD11CB"/>
    <w:rsid w:val="00FD1D46"/>
    <w:rsid w:val="00FD2F98"/>
    <w:rsid w:val="00FD30CB"/>
    <w:rsid w:val="00FD3292"/>
    <w:rsid w:val="00FD33DB"/>
    <w:rsid w:val="00FD3418"/>
    <w:rsid w:val="00FD35C9"/>
    <w:rsid w:val="00FD3844"/>
    <w:rsid w:val="00FD3901"/>
    <w:rsid w:val="00FD392D"/>
    <w:rsid w:val="00FD392F"/>
    <w:rsid w:val="00FD3C1B"/>
    <w:rsid w:val="00FD42A0"/>
    <w:rsid w:val="00FD452C"/>
    <w:rsid w:val="00FD4D48"/>
    <w:rsid w:val="00FD5200"/>
    <w:rsid w:val="00FD52B3"/>
    <w:rsid w:val="00FD5759"/>
    <w:rsid w:val="00FD57F3"/>
    <w:rsid w:val="00FD59C2"/>
    <w:rsid w:val="00FD5BC9"/>
    <w:rsid w:val="00FD5C90"/>
    <w:rsid w:val="00FD6525"/>
    <w:rsid w:val="00FD6F8A"/>
    <w:rsid w:val="00FD7339"/>
    <w:rsid w:val="00FD75BF"/>
    <w:rsid w:val="00FD77B8"/>
    <w:rsid w:val="00FD7893"/>
    <w:rsid w:val="00FE013A"/>
    <w:rsid w:val="00FE0CF1"/>
    <w:rsid w:val="00FE130E"/>
    <w:rsid w:val="00FE1807"/>
    <w:rsid w:val="00FE1CD4"/>
    <w:rsid w:val="00FE1DB1"/>
    <w:rsid w:val="00FE2272"/>
    <w:rsid w:val="00FE253C"/>
    <w:rsid w:val="00FE28D1"/>
    <w:rsid w:val="00FE2A0D"/>
    <w:rsid w:val="00FE2DB8"/>
    <w:rsid w:val="00FE2E74"/>
    <w:rsid w:val="00FE2ED8"/>
    <w:rsid w:val="00FE2FB8"/>
    <w:rsid w:val="00FE3123"/>
    <w:rsid w:val="00FE320F"/>
    <w:rsid w:val="00FE3499"/>
    <w:rsid w:val="00FE3A17"/>
    <w:rsid w:val="00FE3D73"/>
    <w:rsid w:val="00FE3E47"/>
    <w:rsid w:val="00FE40E7"/>
    <w:rsid w:val="00FE4BFA"/>
    <w:rsid w:val="00FE4DEC"/>
    <w:rsid w:val="00FE4E88"/>
    <w:rsid w:val="00FE4E94"/>
    <w:rsid w:val="00FE4F3D"/>
    <w:rsid w:val="00FE508E"/>
    <w:rsid w:val="00FE5108"/>
    <w:rsid w:val="00FE510C"/>
    <w:rsid w:val="00FE5254"/>
    <w:rsid w:val="00FE52E8"/>
    <w:rsid w:val="00FE554C"/>
    <w:rsid w:val="00FE5D31"/>
    <w:rsid w:val="00FE5DF6"/>
    <w:rsid w:val="00FE6640"/>
    <w:rsid w:val="00FE66AE"/>
    <w:rsid w:val="00FE6821"/>
    <w:rsid w:val="00FE69C5"/>
    <w:rsid w:val="00FE69CB"/>
    <w:rsid w:val="00FE72B3"/>
    <w:rsid w:val="00FE74F3"/>
    <w:rsid w:val="00FE7865"/>
    <w:rsid w:val="00FE79E2"/>
    <w:rsid w:val="00FE7F6A"/>
    <w:rsid w:val="00FF021F"/>
    <w:rsid w:val="00FF0D29"/>
    <w:rsid w:val="00FF0DAF"/>
    <w:rsid w:val="00FF1296"/>
    <w:rsid w:val="00FF14F5"/>
    <w:rsid w:val="00FF1521"/>
    <w:rsid w:val="00FF1694"/>
    <w:rsid w:val="00FF16EC"/>
    <w:rsid w:val="00FF1C26"/>
    <w:rsid w:val="00FF1E81"/>
    <w:rsid w:val="00FF1ED1"/>
    <w:rsid w:val="00FF204A"/>
    <w:rsid w:val="00FF2308"/>
    <w:rsid w:val="00FF28CE"/>
    <w:rsid w:val="00FF2DDB"/>
    <w:rsid w:val="00FF3021"/>
    <w:rsid w:val="00FF357A"/>
    <w:rsid w:val="00FF37B3"/>
    <w:rsid w:val="00FF380F"/>
    <w:rsid w:val="00FF3A28"/>
    <w:rsid w:val="00FF3B31"/>
    <w:rsid w:val="00FF3B3E"/>
    <w:rsid w:val="00FF4626"/>
    <w:rsid w:val="00FF49BD"/>
    <w:rsid w:val="00FF4BEE"/>
    <w:rsid w:val="00FF4E3C"/>
    <w:rsid w:val="00FF4F24"/>
    <w:rsid w:val="00FF4FBD"/>
    <w:rsid w:val="00FF516E"/>
    <w:rsid w:val="00FF542E"/>
    <w:rsid w:val="00FF5992"/>
    <w:rsid w:val="00FF5BE4"/>
    <w:rsid w:val="00FF6103"/>
    <w:rsid w:val="00FF614F"/>
    <w:rsid w:val="00FF6889"/>
    <w:rsid w:val="00FF6B89"/>
    <w:rsid w:val="00FF7193"/>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3FC8A2F"/>
  <w15:chartTrackingRefBased/>
  <w15:docId w15:val="{49895E7D-30B4-4E71-8CB2-1A7A7835E1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ko-K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D55E1"/>
    <w:pPr>
      <w:spacing w:after="180"/>
    </w:pPr>
    <w:rPr>
      <w:rFonts w:ascii="Times New Roman" w:hAnsi="Times New Roman"/>
      <w:lang w:val="en-GB" w:eastAsia="en-US"/>
    </w:rPr>
  </w:style>
  <w:style w:type="paragraph" w:styleId="Heading1">
    <w:name w:val="heading 1"/>
    <w:aliases w:val="H1"/>
    <w:next w:val="Normal"/>
    <w:link w:val="Heading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5"/>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EB33EC"/>
    <w:rPr>
      <w:rFonts w:ascii="Arial" w:hAnsi="Arial"/>
      <w:sz w:val="36"/>
      <w:lang w:val="en-GB" w:eastAsia="en-US"/>
    </w:rPr>
  </w:style>
  <w:style w:type="paragraph" w:customStyle="1" w:styleId="H6">
    <w:name w:val="H6"/>
    <w:basedOn w:val="Heading5"/>
    <w:next w:val="Normal"/>
    <w:pPr>
      <w:numPr>
        <w:ilvl w:val="0"/>
        <w:numId w:val="0"/>
      </w:numPr>
      <w:ind w:left="1985" w:hanging="1985"/>
      <w:outlineLvl w:val="9"/>
    </w:pPr>
    <w:rPr>
      <w:sz w:val="20"/>
    </w:rPr>
  </w:style>
  <w:style w:type="character" w:customStyle="1" w:styleId="Heading8Char">
    <w:name w:val="Heading 8 Char"/>
    <w:basedOn w:val="Heading1Char"/>
    <w:link w:val="Heading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link w:val="ListBullet3Char"/>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TabList">
    <w:name w:val="TabList"/>
    <w:basedOn w:val="Normal"/>
    <w:pPr>
      <w:tabs>
        <w:tab w:val="left" w:pos="1134"/>
      </w:tabs>
      <w:spacing w:after="0"/>
    </w:pPr>
  </w:style>
  <w:style w:type="character" w:customStyle="1" w:styleId="Guidance">
    <w:name w:val="Guidance"/>
    <w:rPr>
      <w:i/>
      <w:color w:val="0000FF"/>
    </w:rPr>
  </w:style>
  <w:style w:type="character" w:styleId="Hyperlink">
    <w:name w:val="Hyperlink"/>
    <w:uiPriority w:val="99"/>
    <w:rPr>
      <w:color w:val="0000FF"/>
      <w:u w:val="single"/>
    </w:rPr>
  </w:style>
  <w:style w:type="paragraph" w:styleId="Caption">
    <w:name w:val="caption"/>
    <w:aliases w:val="cap"/>
    <w:basedOn w:val="Normal"/>
    <w:next w:val="Normal"/>
    <w:qFormat/>
    <w:pPr>
      <w:spacing w:before="120" w:after="120"/>
    </w:pPr>
    <w:rPr>
      <w:b/>
    </w:rPr>
  </w:style>
  <w:style w:type="paragraph" w:customStyle="1" w:styleId="tabletext">
    <w:name w:val="table text"/>
    <w:basedOn w:val="Normal"/>
    <w:next w:val="table"/>
    <w:pPr>
      <w:spacing w:after="0"/>
    </w:pPr>
    <w:rPr>
      <w:i/>
    </w:rPr>
  </w:style>
  <w:style w:type="paragraph" w:customStyle="1" w:styleId="table">
    <w:name w:val="table"/>
    <w:basedOn w:val="Normal"/>
    <w:next w:val="Normal"/>
    <w:pPr>
      <w:spacing w:after="0"/>
      <w:jc w:val="center"/>
    </w:pPr>
    <w:rPr>
      <w:lang w:val="en-US"/>
    </w:rPr>
  </w:style>
  <w:style w:type="paragraph" w:styleId="BodyText">
    <w:name w:val="Body Text"/>
    <w:basedOn w:val="Normal"/>
    <w:pPr>
      <w:widowControl w:val="0"/>
      <w:spacing w:after="120"/>
    </w:pPr>
    <w:rPr>
      <w:sz w:val="24"/>
      <w:lang w:val="en-US"/>
    </w:rPr>
  </w:style>
  <w:style w:type="paragraph" w:customStyle="1" w:styleId="HE">
    <w:name w:val="HE"/>
    <w:basedOn w:val="Normal"/>
    <w:pPr>
      <w:spacing w:after="0"/>
    </w:pPr>
    <w:rPr>
      <w:b/>
    </w:rPr>
  </w:style>
  <w:style w:type="paragraph" w:styleId="PlainText">
    <w:name w:val="Plain Text"/>
    <w:basedOn w:val="Normal"/>
    <w:pPr>
      <w:spacing w:after="0"/>
    </w:pPr>
    <w:rPr>
      <w:rFonts w:ascii="Courier New" w:hAnsi="Courier New"/>
      <w:lang w:val="en-US"/>
    </w:rPr>
  </w:style>
  <w:style w:type="paragraph" w:customStyle="1" w:styleId="text">
    <w:name w:val="text"/>
    <w:basedOn w:val="Normal"/>
    <w:pPr>
      <w:widowControl w:val="0"/>
      <w:spacing w:after="240"/>
      <w:jc w:val="both"/>
    </w:pPr>
    <w:rPr>
      <w:sz w:val="24"/>
      <w:lang w:val="en-AU"/>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Normal"/>
    <w:next w:val="Normal"/>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Normal"/>
    <w:pPr>
      <w:widowControl w:val="0"/>
      <w:tabs>
        <w:tab w:val="num" w:pos="360"/>
      </w:tabs>
      <w:spacing w:before="60" w:after="60"/>
      <w:ind w:left="360" w:hanging="360"/>
      <w:jc w:val="both"/>
    </w:pPr>
  </w:style>
  <w:style w:type="paragraph" w:styleId="BodyTextIndent">
    <w:name w:val="Body Text Indent"/>
    <w:basedOn w:val="Normal"/>
    <w:pPr>
      <w:spacing w:before="240" w:after="0"/>
      <w:ind w:left="360"/>
      <w:jc w:val="both"/>
    </w:pPr>
    <w:rPr>
      <w:i/>
      <w:sz w:val="22"/>
    </w:rPr>
  </w:style>
  <w:style w:type="character" w:styleId="PageNumber">
    <w:name w:val="page number"/>
    <w:basedOn w:val="DefaultParagraphFont"/>
  </w:style>
  <w:style w:type="paragraph" w:styleId="CommentText">
    <w:name w:val="annotation text"/>
    <w:basedOn w:val="Normal"/>
    <w:semiHidden/>
    <w:pPr>
      <w:spacing w:before="120" w:after="0"/>
    </w:pPr>
    <w:rPr>
      <w:lang w:val="en-US"/>
    </w:rPr>
  </w:style>
  <w:style w:type="paragraph" w:styleId="BodyText2">
    <w:name w:val="Body Text 2"/>
    <w:basedOn w:val="Normal"/>
    <w:pPr>
      <w:spacing w:after="0"/>
      <w:jc w:val="both"/>
    </w:pPr>
    <w:rPr>
      <w:sz w:val="24"/>
      <w:lang w:val="en-US"/>
    </w:rPr>
  </w:style>
  <w:style w:type="paragraph" w:customStyle="1" w:styleId="para">
    <w:name w:val="para"/>
    <w:basedOn w:val="Normal"/>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pPr>
      <w:tabs>
        <w:tab w:val="center" w:pos="4820"/>
        <w:tab w:val="right" w:pos="9640"/>
      </w:tabs>
    </w:pPr>
  </w:style>
  <w:style w:type="character" w:styleId="FollowedHyperlink">
    <w:name w:val="FollowedHyperlink"/>
    <w:rPr>
      <w:color w:val="800080"/>
      <w:u w:val="single"/>
    </w:rPr>
  </w:style>
  <w:style w:type="paragraph" w:styleId="BodyTextIndent2">
    <w:name w:val="Body Text Indent 2"/>
    <w:basedOn w:val="Normal"/>
    <w:pPr>
      <w:ind w:left="568" w:hanging="568"/>
    </w:pPr>
  </w:style>
  <w:style w:type="paragraph" w:customStyle="1" w:styleId="List1">
    <w:name w:val="List1"/>
    <w:basedOn w:val="Normal"/>
    <w:pPr>
      <w:spacing w:before="120" w:after="0" w:line="280" w:lineRule="atLeast"/>
      <w:ind w:left="360" w:hanging="360"/>
      <w:jc w:val="both"/>
    </w:pPr>
    <w:rPr>
      <w:rFonts w:ascii="Bookman" w:hAnsi="Bookman"/>
      <w:lang w:val="en-US"/>
    </w:rPr>
  </w:style>
  <w:style w:type="paragraph" w:styleId="BodyText3">
    <w:name w:val="Body Text 3"/>
    <w:basedOn w:val="Normal"/>
    <w:rPr>
      <w:b/>
      <w:i/>
      <w:lang w:val="en-US"/>
    </w:rPr>
  </w:style>
  <w:style w:type="table" w:styleId="TableGrid">
    <w:name w:val="Table Grid"/>
    <w:basedOn w:val="TableNormal"/>
    <w:uiPriority w:val="5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BodyTextIndent"/>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basedOn w:val="TH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ListParagraph">
    <w:name w:val="List Paragraph"/>
    <w:basedOn w:val="Normal"/>
    <w:uiPriority w:val="34"/>
    <w:qFormat/>
    <w:rsid w:val="00D6696D"/>
    <w:pPr>
      <w:spacing w:after="0"/>
      <w:ind w:left="720"/>
      <w:contextualSpacing/>
    </w:pPr>
    <w:rPr>
      <w:rFonts w:eastAsia="Times New Roman"/>
      <w:sz w:val="24"/>
      <w:szCs w:val="24"/>
      <w:lang w:val="en-US"/>
    </w:rPr>
  </w:style>
  <w:style w:type="paragraph" w:styleId="NormalWeb">
    <w:name w:val="Normal (Web)"/>
    <w:basedOn w:val="Normal"/>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NChar">
    <w:name w:val="TAN Char"/>
    <w:link w:val="TAN"/>
    <w:rsid w:val="00E26B3B"/>
    <w:rPr>
      <w:rFonts w:ascii="Arial" w:hAnsi="Arial"/>
      <w:sz w:val="18"/>
      <w:lang w:val="en-GB"/>
    </w:rPr>
  </w:style>
  <w:style w:type="paragraph" w:styleId="Revision">
    <w:name w:val="Revision"/>
    <w:hidden/>
    <w:uiPriority w:val="99"/>
    <w:semiHidden/>
    <w:rsid w:val="00E206FD"/>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141262"/>
    <w:rPr>
      <w:rFonts w:ascii="Arial" w:hAnsi="Arial"/>
      <w:b/>
      <w:noProof/>
      <w:sz w:val="18"/>
      <w:lang w:eastAsia="en-US"/>
    </w:rPr>
  </w:style>
  <w:style w:type="paragraph" w:customStyle="1" w:styleId="TdocHeading1">
    <w:name w:val="Tdoc_Heading_1"/>
    <w:basedOn w:val="Heading1"/>
    <w:next w:val="BodyText"/>
    <w:autoRedefine/>
    <w:rsid w:val="00432556"/>
    <w:pPr>
      <w:keepLines w:val="0"/>
      <w:numPr>
        <w:numId w:val="0"/>
      </w:numPr>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491EDD"/>
    <w:rPr>
      <w:rFonts w:eastAsia="SimSun"/>
      <w:i/>
      <w:color w:val="0000FF"/>
      <w:lang w:val="en-GB" w:eastAsia="en-US"/>
    </w:rPr>
  </w:style>
  <w:style w:type="paragraph" w:customStyle="1" w:styleId="CharChar3CharCharCharCharCharChar">
    <w:name w:val="Char Char3 Char Char Char Char Char Char"/>
    <w:semiHidden/>
    <w:rsid w:val="00C74B8B"/>
    <w:pPr>
      <w:keepNext/>
      <w:numPr>
        <w:numId w:val="5"/>
      </w:numPr>
      <w:autoSpaceDE w:val="0"/>
      <w:autoSpaceDN w:val="0"/>
      <w:adjustRightInd w:val="0"/>
      <w:spacing w:before="60" w:after="60"/>
      <w:jc w:val="both"/>
    </w:pPr>
    <w:rPr>
      <w:rFonts w:ascii="Arial" w:eastAsia="SimSun" w:hAnsi="Arial" w:cs="Arial"/>
      <w:color w:val="0000FF"/>
      <w:kern w:val="2"/>
      <w:lang w:eastAsia="zh-CN"/>
    </w:rPr>
  </w:style>
  <w:style w:type="paragraph" w:styleId="ListNumber5">
    <w:name w:val="List Number 5"/>
    <w:basedOn w:val="Normal"/>
    <w:rsid w:val="00227531"/>
    <w:pPr>
      <w:numPr>
        <w:numId w:val="6"/>
      </w:numPr>
      <w:tabs>
        <w:tab w:val="clear" w:pos="1492"/>
        <w:tab w:val="num" w:pos="851"/>
        <w:tab w:val="num" w:pos="1800"/>
      </w:tabs>
      <w:overflowPunct w:val="0"/>
      <w:autoSpaceDE w:val="0"/>
      <w:autoSpaceDN w:val="0"/>
      <w:adjustRightInd w:val="0"/>
      <w:ind w:left="1800" w:hanging="851"/>
      <w:textAlignment w:val="baseline"/>
    </w:pPr>
    <w:rPr>
      <w:lang w:eastAsia="en-GB"/>
    </w:rPr>
  </w:style>
  <w:style w:type="character" w:styleId="PlaceholderText">
    <w:name w:val="Placeholder Text"/>
    <w:basedOn w:val="DefaultParagraphFont"/>
    <w:uiPriority w:val="99"/>
    <w:semiHidden/>
    <w:rsid w:val="00921CCE"/>
    <w:rPr>
      <w:color w:val="808080"/>
    </w:rPr>
  </w:style>
  <w:style w:type="character" w:customStyle="1" w:styleId="EQChar">
    <w:name w:val="EQ Char"/>
    <w:link w:val="EQ"/>
    <w:rsid w:val="005D248F"/>
    <w:rPr>
      <w:rFonts w:ascii="Times New Roman" w:hAnsi="Times New Roman"/>
      <w:noProof/>
      <w:lang w:val="en-GB" w:eastAsia="en-US"/>
    </w:rPr>
  </w:style>
  <w:style w:type="character" w:customStyle="1" w:styleId="IvDbodytextChar">
    <w:name w:val="IvD bodytext Char"/>
    <w:link w:val="IvDbodytext"/>
    <w:locked/>
    <w:rsid w:val="005A39BD"/>
    <w:rPr>
      <w:rFonts w:ascii="Arial" w:hAnsi="Arial" w:cs="Arial"/>
      <w:spacing w:val="2"/>
    </w:rPr>
  </w:style>
  <w:style w:type="paragraph" w:customStyle="1" w:styleId="IvDbodytext">
    <w:name w:val="IvD bodytext"/>
    <w:basedOn w:val="BodyText"/>
    <w:link w:val="IvDbodytextChar"/>
    <w:qFormat/>
    <w:rsid w:val="005A39BD"/>
    <w:pPr>
      <w:keepLines/>
      <w:widowControl/>
      <w:tabs>
        <w:tab w:val="left" w:pos="2552"/>
        <w:tab w:val="left" w:pos="3856"/>
        <w:tab w:val="left" w:pos="5216"/>
        <w:tab w:val="left" w:pos="6464"/>
        <w:tab w:val="left" w:pos="7768"/>
        <w:tab w:val="left" w:pos="9072"/>
        <w:tab w:val="left" w:pos="9639"/>
      </w:tabs>
      <w:spacing w:before="240" w:after="0"/>
    </w:pPr>
    <w:rPr>
      <w:rFonts w:ascii="Arial" w:hAnsi="Arial" w:cs="Arial"/>
      <w:spacing w:val="2"/>
      <w:sz w:val="20"/>
      <w:lang w:eastAsia="ko-KR"/>
    </w:rPr>
  </w:style>
  <w:style w:type="character" w:customStyle="1" w:styleId="TALChar">
    <w:name w:val="TAL Char"/>
    <w:locked/>
    <w:rsid w:val="00F571FD"/>
    <w:rPr>
      <w:rFonts w:ascii="Arial" w:hAnsi="Arial"/>
      <w:sz w:val="18"/>
      <w:lang w:val="en-GB" w:eastAsia="en-US" w:bidi="ar-SA"/>
    </w:rPr>
  </w:style>
  <w:style w:type="paragraph" w:customStyle="1" w:styleId="Default">
    <w:name w:val="Default"/>
    <w:rsid w:val="00F571FD"/>
    <w:pPr>
      <w:autoSpaceDE w:val="0"/>
      <w:autoSpaceDN w:val="0"/>
      <w:adjustRightInd w:val="0"/>
    </w:pPr>
    <w:rPr>
      <w:rFonts w:ascii="Arial" w:eastAsia="Times New Roman" w:hAnsi="Arial" w:cs="Arial"/>
      <w:color w:val="000000"/>
      <w:sz w:val="24"/>
      <w:szCs w:val="24"/>
      <w:lang w:eastAsia="en-US"/>
    </w:rPr>
  </w:style>
  <w:style w:type="paragraph" w:customStyle="1" w:styleId="Doc-text2">
    <w:name w:val="Doc-text2"/>
    <w:basedOn w:val="Normal"/>
    <w:link w:val="Doc-text2Char"/>
    <w:qFormat/>
    <w:rsid w:val="009C5EB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9C5EB9"/>
    <w:rPr>
      <w:rFonts w:ascii="Arial" w:hAnsi="Arial"/>
      <w:szCs w:val="24"/>
      <w:lang w:val="en-GB" w:eastAsia="en-GB"/>
    </w:rPr>
  </w:style>
  <w:style w:type="paragraph" w:customStyle="1" w:styleId="Agreement">
    <w:name w:val="Agreement"/>
    <w:basedOn w:val="Normal"/>
    <w:next w:val="Doc-text2"/>
    <w:rsid w:val="009C5EB9"/>
    <w:pPr>
      <w:numPr>
        <w:numId w:val="26"/>
      </w:numPr>
      <w:spacing w:before="60" w:after="0"/>
    </w:pPr>
    <w:rPr>
      <w:rFonts w:ascii="Arial" w:hAnsi="Arial"/>
      <w:b/>
      <w:szCs w:val="24"/>
      <w:lang w:eastAsia="en-GB"/>
    </w:rPr>
  </w:style>
  <w:style w:type="character" w:customStyle="1" w:styleId="PLChar">
    <w:name w:val="PL Char"/>
    <w:basedOn w:val="DefaultParagraphFont"/>
    <w:link w:val="PL"/>
    <w:locked/>
    <w:rsid w:val="002D0C19"/>
    <w:rPr>
      <w:rFonts w:ascii="Courier New" w:hAnsi="Courier New"/>
      <w:noProof/>
      <w:sz w:val="16"/>
      <w:lang w:eastAsia="en-US"/>
    </w:rPr>
  </w:style>
  <w:style w:type="paragraph" w:customStyle="1" w:styleId="3GPPAgreements">
    <w:name w:val="3GPP Agreements"/>
    <w:basedOn w:val="Normal"/>
    <w:link w:val="3GPPAgreementsChar"/>
    <w:qFormat/>
    <w:rsid w:val="00757E09"/>
    <w:pPr>
      <w:numPr>
        <w:numId w:val="35"/>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757E09"/>
    <w:rPr>
      <w:rFonts w:ascii="Times New Roman" w:eastAsia="SimSun" w:hAnsi="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55903025">
      <w:bodyDiv w:val="1"/>
      <w:marLeft w:val="0"/>
      <w:marRight w:val="0"/>
      <w:marTop w:val="0"/>
      <w:marBottom w:val="0"/>
      <w:divBdr>
        <w:top w:val="none" w:sz="0" w:space="0" w:color="auto"/>
        <w:left w:val="none" w:sz="0" w:space="0" w:color="auto"/>
        <w:bottom w:val="none" w:sz="0" w:space="0" w:color="auto"/>
        <w:right w:val="none" w:sz="0" w:space="0" w:color="auto"/>
      </w:divBdr>
    </w:div>
    <w:div w:id="104927992">
      <w:bodyDiv w:val="1"/>
      <w:marLeft w:val="0"/>
      <w:marRight w:val="0"/>
      <w:marTop w:val="0"/>
      <w:marBottom w:val="0"/>
      <w:divBdr>
        <w:top w:val="none" w:sz="0" w:space="0" w:color="auto"/>
        <w:left w:val="none" w:sz="0" w:space="0" w:color="auto"/>
        <w:bottom w:val="none" w:sz="0" w:space="0" w:color="auto"/>
        <w:right w:val="none" w:sz="0" w:space="0" w:color="auto"/>
      </w:divBdr>
      <w:divsChild>
        <w:div w:id="1166938393">
          <w:marLeft w:val="547"/>
          <w:marRight w:val="0"/>
          <w:marTop w:val="96"/>
          <w:marBottom w:val="0"/>
          <w:divBdr>
            <w:top w:val="none" w:sz="0" w:space="0" w:color="auto"/>
            <w:left w:val="none" w:sz="0" w:space="0" w:color="auto"/>
            <w:bottom w:val="none" w:sz="0" w:space="0" w:color="auto"/>
            <w:right w:val="none" w:sz="0" w:space="0" w:color="auto"/>
          </w:divBdr>
        </w:div>
      </w:divsChild>
    </w:div>
    <w:div w:id="170488429">
      <w:bodyDiv w:val="1"/>
      <w:marLeft w:val="0"/>
      <w:marRight w:val="0"/>
      <w:marTop w:val="0"/>
      <w:marBottom w:val="0"/>
      <w:divBdr>
        <w:top w:val="none" w:sz="0" w:space="0" w:color="auto"/>
        <w:left w:val="none" w:sz="0" w:space="0" w:color="auto"/>
        <w:bottom w:val="none" w:sz="0" w:space="0" w:color="auto"/>
        <w:right w:val="none" w:sz="0" w:space="0" w:color="auto"/>
      </w:divBdr>
      <w:divsChild>
        <w:div w:id="38207708">
          <w:marLeft w:val="1166"/>
          <w:marRight w:val="0"/>
          <w:marTop w:val="96"/>
          <w:marBottom w:val="0"/>
          <w:divBdr>
            <w:top w:val="none" w:sz="0" w:space="0" w:color="auto"/>
            <w:left w:val="none" w:sz="0" w:space="0" w:color="auto"/>
            <w:bottom w:val="none" w:sz="0" w:space="0" w:color="auto"/>
            <w:right w:val="none" w:sz="0" w:space="0" w:color="auto"/>
          </w:divBdr>
        </w:div>
        <w:div w:id="329718502">
          <w:marLeft w:val="1800"/>
          <w:marRight w:val="0"/>
          <w:marTop w:val="96"/>
          <w:marBottom w:val="0"/>
          <w:divBdr>
            <w:top w:val="none" w:sz="0" w:space="0" w:color="auto"/>
            <w:left w:val="none" w:sz="0" w:space="0" w:color="auto"/>
            <w:bottom w:val="none" w:sz="0" w:space="0" w:color="auto"/>
            <w:right w:val="none" w:sz="0" w:space="0" w:color="auto"/>
          </w:divBdr>
        </w:div>
        <w:div w:id="693726358">
          <w:marLeft w:val="1166"/>
          <w:marRight w:val="0"/>
          <w:marTop w:val="96"/>
          <w:marBottom w:val="0"/>
          <w:divBdr>
            <w:top w:val="none" w:sz="0" w:space="0" w:color="auto"/>
            <w:left w:val="none" w:sz="0" w:space="0" w:color="auto"/>
            <w:bottom w:val="none" w:sz="0" w:space="0" w:color="auto"/>
            <w:right w:val="none" w:sz="0" w:space="0" w:color="auto"/>
          </w:divBdr>
        </w:div>
        <w:div w:id="998342048">
          <w:marLeft w:val="547"/>
          <w:marRight w:val="0"/>
          <w:marTop w:val="115"/>
          <w:marBottom w:val="0"/>
          <w:divBdr>
            <w:top w:val="none" w:sz="0" w:space="0" w:color="auto"/>
            <w:left w:val="none" w:sz="0" w:space="0" w:color="auto"/>
            <w:bottom w:val="none" w:sz="0" w:space="0" w:color="auto"/>
            <w:right w:val="none" w:sz="0" w:space="0" w:color="auto"/>
          </w:divBdr>
        </w:div>
        <w:div w:id="1153763304">
          <w:marLeft w:val="1166"/>
          <w:marRight w:val="0"/>
          <w:marTop w:val="96"/>
          <w:marBottom w:val="0"/>
          <w:divBdr>
            <w:top w:val="none" w:sz="0" w:space="0" w:color="auto"/>
            <w:left w:val="none" w:sz="0" w:space="0" w:color="auto"/>
            <w:bottom w:val="none" w:sz="0" w:space="0" w:color="auto"/>
            <w:right w:val="none" w:sz="0" w:space="0" w:color="auto"/>
          </w:divBdr>
        </w:div>
        <w:div w:id="1359233540">
          <w:marLeft w:val="1166"/>
          <w:marRight w:val="0"/>
          <w:marTop w:val="96"/>
          <w:marBottom w:val="0"/>
          <w:divBdr>
            <w:top w:val="none" w:sz="0" w:space="0" w:color="auto"/>
            <w:left w:val="none" w:sz="0" w:space="0" w:color="auto"/>
            <w:bottom w:val="none" w:sz="0" w:space="0" w:color="auto"/>
            <w:right w:val="none" w:sz="0" w:space="0" w:color="auto"/>
          </w:divBdr>
        </w:div>
        <w:div w:id="1425878401">
          <w:marLeft w:val="1800"/>
          <w:marRight w:val="0"/>
          <w:marTop w:val="96"/>
          <w:marBottom w:val="0"/>
          <w:divBdr>
            <w:top w:val="none" w:sz="0" w:space="0" w:color="auto"/>
            <w:left w:val="none" w:sz="0" w:space="0" w:color="auto"/>
            <w:bottom w:val="none" w:sz="0" w:space="0" w:color="auto"/>
            <w:right w:val="none" w:sz="0" w:space="0" w:color="auto"/>
          </w:divBdr>
        </w:div>
        <w:div w:id="1599873734">
          <w:marLeft w:val="1800"/>
          <w:marRight w:val="0"/>
          <w:marTop w:val="77"/>
          <w:marBottom w:val="0"/>
          <w:divBdr>
            <w:top w:val="none" w:sz="0" w:space="0" w:color="auto"/>
            <w:left w:val="none" w:sz="0" w:space="0" w:color="auto"/>
            <w:bottom w:val="none" w:sz="0" w:space="0" w:color="auto"/>
            <w:right w:val="none" w:sz="0" w:space="0" w:color="auto"/>
          </w:divBdr>
        </w:div>
      </w:divsChild>
    </w:div>
    <w:div w:id="172259572">
      <w:bodyDiv w:val="1"/>
      <w:marLeft w:val="0"/>
      <w:marRight w:val="0"/>
      <w:marTop w:val="0"/>
      <w:marBottom w:val="0"/>
      <w:divBdr>
        <w:top w:val="none" w:sz="0" w:space="0" w:color="auto"/>
        <w:left w:val="none" w:sz="0" w:space="0" w:color="auto"/>
        <w:bottom w:val="none" w:sz="0" w:space="0" w:color="auto"/>
        <w:right w:val="none" w:sz="0" w:space="0" w:color="auto"/>
      </w:divBdr>
      <w:divsChild>
        <w:div w:id="440347555">
          <w:marLeft w:val="547"/>
          <w:marRight w:val="0"/>
          <w:marTop w:val="96"/>
          <w:marBottom w:val="0"/>
          <w:divBdr>
            <w:top w:val="none" w:sz="0" w:space="0" w:color="auto"/>
            <w:left w:val="none" w:sz="0" w:space="0" w:color="auto"/>
            <w:bottom w:val="none" w:sz="0" w:space="0" w:color="auto"/>
            <w:right w:val="none" w:sz="0" w:space="0" w:color="auto"/>
          </w:divBdr>
        </w:div>
        <w:div w:id="589244285">
          <w:marLeft w:val="1166"/>
          <w:marRight w:val="0"/>
          <w:marTop w:val="77"/>
          <w:marBottom w:val="0"/>
          <w:divBdr>
            <w:top w:val="none" w:sz="0" w:space="0" w:color="auto"/>
            <w:left w:val="none" w:sz="0" w:space="0" w:color="auto"/>
            <w:bottom w:val="none" w:sz="0" w:space="0" w:color="auto"/>
            <w:right w:val="none" w:sz="0" w:space="0" w:color="auto"/>
          </w:divBdr>
        </w:div>
        <w:div w:id="775757131">
          <w:marLeft w:val="547"/>
          <w:marRight w:val="0"/>
          <w:marTop w:val="96"/>
          <w:marBottom w:val="0"/>
          <w:divBdr>
            <w:top w:val="none" w:sz="0" w:space="0" w:color="auto"/>
            <w:left w:val="none" w:sz="0" w:space="0" w:color="auto"/>
            <w:bottom w:val="none" w:sz="0" w:space="0" w:color="auto"/>
            <w:right w:val="none" w:sz="0" w:space="0" w:color="auto"/>
          </w:divBdr>
        </w:div>
        <w:div w:id="926306039">
          <w:marLeft w:val="1166"/>
          <w:marRight w:val="0"/>
          <w:marTop w:val="77"/>
          <w:marBottom w:val="0"/>
          <w:divBdr>
            <w:top w:val="none" w:sz="0" w:space="0" w:color="auto"/>
            <w:left w:val="none" w:sz="0" w:space="0" w:color="auto"/>
            <w:bottom w:val="none" w:sz="0" w:space="0" w:color="auto"/>
            <w:right w:val="none" w:sz="0" w:space="0" w:color="auto"/>
          </w:divBdr>
        </w:div>
        <w:div w:id="945188013">
          <w:marLeft w:val="547"/>
          <w:marRight w:val="0"/>
          <w:marTop w:val="96"/>
          <w:marBottom w:val="0"/>
          <w:divBdr>
            <w:top w:val="none" w:sz="0" w:space="0" w:color="auto"/>
            <w:left w:val="none" w:sz="0" w:space="0" w:color="auto"/>
            <w:bottom w:val="none" w:sz="0" w:space="0" w:color="auto"/>
            <w:right w:val="none" w:sz="0" w:space="0" w:color="auto"/>
          </w:divBdr>
        </w:div>
        <w:div w:id="1272974049">
          <w:marLeft w:val="1166"/>
          <w:marRight w:val="0"/>
          <w:marTop w:val="77"/>
          <w:marBottom w:val="0"/>
          <w:divBdr>
            <w:top w:val="none" w:sz="0" w:space="0" w:color="auto"/>
            <w:left w:val="none" w:sz="0" w:space="0" w:color="auto"/>
            <w:bottom w:val="none" w:sz="0" w:space="0" w:color="auto"/>
            <w:right w:val="none" w:sz="0" w:space="0" w:color="auto"/>
          </w:divBdr>
        </w:div>
        <w:div w:id="1361857580">
          <w:marLeft w:val="547"/>
          <w:marRight w:val="0"/>
          <w:marTop w:val="96"/>
          <w:marBottom w:val="0"/>
          <w:divBdr>
            <w:top w:val="none" w:sz="0" w:space="0" w:color="auto"/>
            <w:left w:val="none" w:sz="0" w:space="0" w:color="auto"/>
            <w:bottom w:val="none" w:sz="0" w:space="0" w:color="auto"/>
            <w:right w:val="none" w:sz="0" w:space="0" w:color="auto"/>
          </w:divBdr>
        </w:div>
        <w:div w:id="1635596455">
          <w:marLeft w:val="1166"/>
          <w:marRight w:val="0"/>
          <w:marTop w:val="77"/>
          <w:marBottom w:val="0"/>
          <w:divBdr>
            <w:top w:val="none" w:sz="0" w:space="0" w:color="auto"/>
            <w:left w:val="none" w:sz="0" w:space="0" w:color="auto"/>
            <w:bottom w:val="none" w:sz="0" w:space="0" w:color="auto"/>
            <w:right w:val="none" w:sz="0" w:space="0" w:color="auto"/>
          </w:divBdr>
        </w:div>
        <w:div w:id="1656841468">
          <w:marLeft w:val="1166"/>
          <w:marRight w:val="0"/>
          <w:marTop w:val="77"/>
          <w:marBottom w:val="0"/>
          <w:divBdr>
            <w:top w:val="none" w:sz="0" w:space="0" w:color="auto"/>
            <w:left w:val="none" w:sz="0" w:space="0" w:color="auto"/>
            <w:bottom w:val="none" w:sz="0" w:space="0" w:color="auto"/>
            <w:right w:val="none" w:sz="0" w:space="0" w:color="auto"/>
          </w:divBdr>
        </w:div>
        <w:div w:id="1661232755">
          <w:marLeft w:val="1166"/>
          <w:marRight w:val="0"/>
          <w:marTop w:val="77"/>
          <w:marBottom w:val="0"/>
          <w:divBdr>
            <w:top w:val="none" w:sz="0" w:space="0" w:color="auto"/>
            <w:left w:val="none" w:sz="0" w:space="0" w:color="auto"/>
            <w:bottom w:val="none" w:sz="0" w:space="0" w:color="auto"/>
            <w:right w:val="none" w:sz="0" w:space="0" w:color="auto"/>
          </w:divBdr>
        </w:div>
        <w:div w:id="1686974392">
          <w:marLeft w:val="1166"/>
          <w:marRight w:val="0"/>
          <w:marTop w:val="77"/>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98650057">
      <w:bodyDiv w:val="1"/>
      <w:marLeft w:val="0"/>
      <w:marRight w:val="0"/>
      <w:marTop w:val="0"/>
      <w:marBottom w:val="0"/>
      <w:divBdr>
        <w:top w:val="none" w:sz="0" w:space="0" w:color="auto"/>
        <w:left w:val="none" w:sz="0" w:space="0" w:color="auto"/>
        <w:bottom w:val="none" w:sz="0" w:space="0" w:color="auto"/>
        <w:right w:val="none" w:sz="0" w:space="0" w:color="auto"/>
      </w:divBdr>
    </w:div>
    <w:div w:id="317541242">
      <w:bodyDiv w:val="1"/>
      <w:marLeft w:val="0"/>
      <w:marRight w:val="0"/>
      <w:marTop w:val="0"/>
      <w:marBottom w:val="0"/>
      <w:divBdr>
        <w:top w:val="none" w:sz="0" w:space="0" w:color="auto"/>
        <w:left w:val="none" w:sz="0" w:space="0" w:color="auto"/>
        <w:bottom w:val="none" w:sz="0" w:space="0" w:color="auto"/>
        <w:right w:val="none" w:sz="0" w:space="0" w:color="auto"/>
      </w:divBdr>
    </w:div>
    <w:div w:id="329337736">
      <w:bodyDiv w:val="1"/>
      <w:marLeft w:val="0"/>
      <w:marRight w:val="0"/>
      <w:marTop w:val="0"/>
      <w:marBottom w:val="0"/>
      <w:divBdr>
        <w:top w:val="none" w:sz="0" w:space="0" w:color="auto"/>
        <w:left w:val="none" w:sz="0" w:space="0" w:color="auto"/>
        <w:bottom w:val="none" w:sz="0" w:space="0" w:color="auto"/>
        <w:right w:val="none" w:sz="0" w:space="0" w:color="auto"/>
      </w:divBdr>
      <w:divsChild>
        <w:div w:id="214436863">
          <w:marLeft w:val="1800"/>
          <w:marRight w:val="0"/>
          <w:marTop w:val="86"/>
          <w:marBottom w:val="0"/>
          <w:divBdr>
            <w:top w:val="none" w:sz="0" w:space="0" w:color="auto"/>
            <w:left w:val="none" w:sz="0" w:space="0" w:color="auto"/>
            <w:bottom w:val="none" w:sz="0" w:space="0" w:color="auto"/>
            <w:right w:val="none" w:sz="0" w:space="0" w:color="auto"/>
          </w:divBdr>
        </w:div>
        <w:div w:id="225458327">
          <w:marLeft w:val="1800"/>
          <w:marRight w:val="0"/>
          <w:marTop w:val="86"/>
          <w:marBottom w:val="0"/>
          <w:divBdr>
            <w:top w:val="none" w:sz="0" w:space="0" w:color="auto"/>
            <w:left w:val="none" w:sz="0" w:space="0" w:color="auto"/>
            <w:bottom w:val="none" w:sz="0" w:space="0" w:color="auto"/>
            <w:right w:val="none" w:sz="0" w:space="0" w:color="auto"/>
          </w:divBdr>
        </w:div>
        <w:div w:id="824202541">
          <w:marLeft w:val="1166"/>
          <w:marRight w:val="0"/>
          <w:marTop w:val="96"/>
          <w:marBottom w:val="0"/>
          <w:divBdr>
            <w:top w:val="none" w:sz="0" w:space="0" w:color="auto"/>
            <w:left w:val="none" w:sz="0" w:space="0" w:color="auto"/>
            <w:bottom w:val="none" w:sz="0" w:space="0" w:color="auto"/>
            <w:right w:val="none" w:sz="0" w:space="0" w:color="auto"/>
          </w:divBdr>
        </w:div>
        <w:div w:id="1015838374">
          <w:marLeft w:val="1166"/>
          <w:marRight w:val="0"/>
          <w:marTop w:val="96"/>
          <w:marBottom w:val="0"/>
          <w:divBdr>
            <w:top w:val="none" w:sz="0" w:space="0" w:color="auto"/>
            <w:left w:val="none" w:sz="0" w:space="0" w:color="auto"/>
            <w:bottom w:val="none" w:sz="0" w:space="0" w:color="auto"/>
            <w:right w:val="none" w:sz="0" w:space="0" w:color="auto"/>
          </w:divBdr>
        </w:div>
        <w:div w:id="1026491860">
          <w:marLeft w:val="1166"/>
          <w:marRight w:val="0"/>
          <w:marTop w:val="96"/>
          <w:marBottom w:val="0"/>
          <w:divBdr>
            <w:top w:val="none" w:sz="0" w:space="0" w:color="auto"/>
            <w:left w:val="none" w:sz="0" w:space="0" w:color="auto"/>
            <w:bottom w:val="none" w:sz="0" w:space="0" w:color="auto"/>
            <w:right w:val="none" w:sz="0" w:space="0" w:color="auto"/>
          </w:divBdr>
        </w:div>
        <w:div w:id="1164855054">
          <w:marLeft w:val="1166"/>
          <w:marRight w:val="0"/>
          <w:marTop w:val="96"/>
          <w:marBottom w:val="0"/>
          <w:divBdr>
            <w:top w:val="none" w:sz="0" w:space="0" w:color="auto"/>
            <w:left w:val="none" w:sz="0" w:space="0" w:color="auto"/>
            <w:bottom w:val="none" w:sz="0" w:space="0" w:color="auto"/>
            <w:right w:val="none" w:sz="0" w:space="0" w:color="auto"/>
          </w:divBdr>
        </w:div>
        <w:div w:id="2122606870">
          <w:marLeft w:val="1800"/>
          <w:marRight w:val="0"/>
          <w:marTop w:val="77"/>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0277243">
      <w:bodyDiv w:val="1"/>
      <w:marLeft w:val="0"/>
      <w:marRight w:val="0"/>
      <w:marTop w:val="0"/>
      <w:marBottom w:val="0"/>
      <w:divBdr>
        <w:top w:val="none" w:sz="0" w:space="0" w:color="auto"/>
        <w:left w:val="none" w:sz="0" w:space="0" w:color="auto"/>
        <w:bottom w:val="none" w:sz="0" w:space="0" w:color="auto"/>
        <w:right w:val="none" w:sz="0" w:space="0" w:color="auto"/>
      </w:divBdr>
      <w:divsChild>
        <w:div w:id="107893436">
          <w:marLeft w:val="547"/>
          <w:marRight w:val="0"/>
          <w:marTop w:val="115"/>
          <w:marBottom w:val="0"/>
          <w:divBdr>
            <w:top w:val="none" w:sz="0" w:space="0" w:color="auto"/>
            <w:left w:val="none" w:sz="0" w:space="0" w:color="auto"/>
            <w:bottom w:val="none" w:sz="0" w:space="0" w:color="auto"/>
            <w:right w:val="none" w:sz="0" w:space="0" w:color="auto"/>
          </w:divBdr>
        </w:div>
        <w:div w:id="682517568">
          <w:marLeft w:val="1800"/>
          <w:marRight w:val="0"/>
          <w:marTop w:val="86"/>
          <w:marBottom w:val="0"/>
          <w:divBdr>
            <w:top w:val="none" w:sz="0" w:space="0" w:color="auto"/>
            <w:left w:val="none" w:sz="0" w:space="0" w:color="auto"/>
            <w:bottom w:val="none" w:sz="0" w:space="0" w:color="auto"/>
            <w:right w:val="none" w:sz="0" w:space="0" w:color="auto"/>
          </w:divBdr>
        </w:div>
        <w:div w:id="703866083">
          <w:marLeft w:val="1800"/>
          <w:marRight w:val="0"/>
          <w:marTop w:val="86"/>
          <w:marBottom w:val="0"/>
          <w:divBdr>
            <w:top w:val="none" w:sz="0" w:space="0" w:color="auto"/>
            <w:left w:val="none" w:sz="0" w:space="0" w:color="auto"/>
            <w:bottom w:val="none" w:sz="0" w:space="0" w:color="auto"/>
            <w:right w:val="none" w:sz="0" w:space="0" w:color="auto"/>
          </w:divBdr>
        </w:div>
        <w:div w:id="1049181291">
          <w:marLeft w:val="1166"/>
          <w:marRight w:val="0"/>
          <w:marTop w:val="96"/>
          <w:marBottom w:val="0"/>
          <w:divBdr>
            <w:top w:val="none" w:sz="0" w:space="0" w:color="auto"/>
            <w:left w:val="none" w:sz="0" w:space="0" w:color="auto"/>
            <w:bottom w:val="none" w:sz="0" w:space="0" w:color="auto"/>
            <w:right w:val="none" w:sz="0" w:space="0" w:color="auto"/>
          </w:divBdr>
        </w:div>
        <w:div w:id="1330715589">
          <w:marLeft w:val="547"/>
          <w:marRight w:val="0"/>
          <w:marTop w:val="115"/>
          <w:marBottom w:val="0"/>
          <w:divBdr>
            <w:top w:val="none" w:sz="0" w:space="0" w:color="auto"/>
            <w:left w:val="none" w:sz="0" w:space="0" w:color="auto"/>
            <w:bottom w:val="none" w:sz="0" w:space="0" w:color="auto"/>
            <w:right w:val="none" w:sz="0" w:space="0" w:color="auto"/>
          </w:divBdr>
        </w:div>
        <w:div w:id="1462576261">
          <w:marLeft w:val="547"/>
          <w:marRight w:val="0"/>
          <w:marTop w:val="115"/>
          <w:marBottom w:val="0"/>
          <w:divBdr>
            <w:top w:val="none" w:sz="0" w:space="0" w:color="auto"/>
            <w:left w:val="none" w:sz="0" w:space="0" w:color="auto"/>
            <w:bottom w:val="none" w:sz="0" w:space="0" w:color="auto"/>
            <w:right w:val="none" w:sz="0" w:space="0" w:color="auto"/>
          </w:divBdr>
        </w:div>
        <w:div w:id="1505974192">
          <w:marLeft w:val="1166"/>
          <w:marRight w:val="0"/>
          <w:marTop w:val="96"/>
          <w:marBottom w:val="0"/>
          <w:divBdr>
            <w:top w:val="none" w:sz="0" w:space="0" w:color="auto"/>
            <w:left w:val="none" w:sz="0" w:space="0" w:color="auto"/>
            <w:bottom w:val="none" w:sz="0" w:space="0" w:color="auto"/>
            <w:right w:val="none" w:sz="0" w:space="0" w:color="auto"/>
          </w:divBdr>
        </w:div>
        <w:div w:id="1834561766">
          <w:marLeft w:val="547"/>
          <w:marRight w:val="0"/>
          <w:marTop w:val="115"/>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412237853">
      <w:bodyDiv w:val="1"/>
      <w:marLeft w:val="0"/>
      <w:marRight w:val="0"/>
      <w:marTop w:val="0"/>
      <w:marBottom w:val="0"/>
      <w:divBdr>
        <w:top w:val="none" w:sz="0" w:space="0" w:color="auto"/>
        <w:left w:val="none" w:sz="0" w:space="0" w:color="auto"/>
        <w:bottom w:val="none" w:sz="0" w:space="0" w:color="auto"/>
        <w:right w:val="none" w:sz="0" w:space="0" w:color="auto"/>
      </w:divBdr>
    </w:div>
    <w:div w:id="421799777">
      <w:bodyDiv w:val="1"/>
      <w:marLeft w:val="0"/>
      <w:marRight w:val="0"/>
      <w:marTop w:val="0"/>
      <w:marBottom w:val="0"/>
      <w:divBdr>
        <w:top w:val="none" w:sz="0" w:space="0" w:color="auto"/>
        <w:left w:val="none" w:sz="0" w:space="0" w:color="auto"/>
        <w:bottom w:val="none" w:sz="0" w:space="0" w:color="auto"/>
        <w:right w:val="none" w:sz="0" w:space="0" w:color="auto"/>
      </w:divBdr>
    </w:div>
    <w:div w:id="425614191">
      <w:bodyDiv w:val="1"/>
      <w:marLeft w:val="0"/>
      <w:marRight w:val="0"/>
      <w:marTop w:val="0"/>
      <w:marBottom w:val="0"/>
      <w:divBdr>
        <w:top w:val="none" w:sz="0" w:space="0" w:color="auto"/>
        <w:left w:val="none" w:sz="0" w:space="0" w:color="auto"/>
        <w:bottom w:val="none" w:sz="0" w:space="0" w:color="auto"/>
        <w:right w:val="none" w:sz="0" w:space="0" w:color="auto"/>
      </w:divBdr>
      <w:divsChild>
        <w:div w:id="450128733">
          <w:marLeft w:val="1008"/>
          <w:marRight w:val="0"/>
          <w:marTop w:val="120"/>
          <w:marBottom w:val="0"/>
          <w:divBdr>
            <w:top w:val="none" w:sz="0" w:space="0" w:color="auto"/>
            <w:left w:val="none" w:sz="0" w:space="0" w:color="auto"/>
            <w:bottom w:val="none" w:sz="0" w:space="0" w:color="auto"/>
            <w:right w:val="none" w:sz="0" w:space="0" w:color="auto"/>
          </w:divBdr>
        </w:div>
        <w:div w:id="629631528">
          <w:marLeft w:val="1008"/>
          <w:marRight w:val="0"/>
          <w:marTop w:val="120"/>
          <w:marBottom w:val="0"/>
          <w:divBdr>
            <w:top w:val="none" w:sz="0" w:space="0" w:color="auto"/>
            <w:left w:val="none" w:sz="0" w:space="0" w:color="auto"/>
            <w:bottom w:val="none" w:sz="0" w:space="0" w:color="auto"/>
            <w:right w:val="none" w:sz="0" w:space="0" w:color="auto"/>
          </w:divBdr>
        </w:div>
        <w:div w:id="795562775">
          <w:marLeft w:val="1008"/>
          <w:marRight w:val="0"/>
          <w:marTop w:val="120"/>
          <w:marBottom w:val="0"/>
          <w:divBdr>
            <w:top w:val="none" w:sz="0" w:space="0" w:color="auto"/>
            <w:left w:val="none" w:sz="0" w:space="0" w:color="auto"/>
            <w:bottom w:val="none" w:sz="0" w:space="0" w:color="auto"/>
            <w:right w:val="none" w:sz="0" w:space="0" w:color="auto"/>
          </w:divBdr>
        </w:div>
        <w:div w:id="866018839">
          <w:marLeft w:val="1008"/>
          <w:marRight w:val="0"/>
          <w:marTop w:val="120"/>
          <w:marBottom w:val="0"/>
          <w:divBdr>
            <w:top w:val="none" w:sz="0" w:space="0" w:color="auto"/>
            <w:left w:val="none" w:sz="0" w:space="0" w:color="auto"/>
            <w:bottom w:val="none" w:sz="0" w:space="0" w:color="auto"/>
            <w:right w:val="none" w:sz="0" w:space="0" w:color="auto"/>
          </w:divBdr>
        </w:div>
        <w:div w:id="1587376353">
          <w:marLeft w:val="1008"/>
          <w:marRight w:val="0"/>
          <w:marTop w:val="120"/>
          <w:marBottom w:val="0"/>
          <w:divBdr>
            <w:top w:val="none" w:sz="0" w:space="0" w:color="auto"/>
            <w:left w:val="none" w:sz="0" w:space="0" w:color="auto"/>
            <w:bottom w:val="none" w:sz="0" w:space="0" w:color="auto"/>
            <w:right w:val="none" w:sz="0" w:space="0" w:color="auto"/>
          </w:divBdr>
        </w:div>
      </w:divsChild>
    </w:div>
    <w:div w:id="432363352">
      <w:bodyDiv w:val="1"/>
      <w:marLeft w:val="0"/>
      <w:marRight w:val="0"/>
      <w:marTop w:val="0"/>
      <w:marBottom w:val="0"/>
      <w:divBdr>
        <w:top w:val="none" w:sz="0" w:space="0" w:color="auto"/>
        <w:left w:val="none" w:sz="0" w:space="0" w:color="auto"/>
        <w:bottom w:val="none" w:sz="0" w:space="0" w:color="auto"/>
        <w:right w:val="none" w:sz="0" w:space="0" w:color="auto"/>
      </w:divBdr>
    </w:div>
    <w:div w:id="458842584">
      <w:bodyDiv w:val="1"/>
      <w:marLeft w:val="0"/>
      <w:marRight w:val="0"/>
      <w:marTop w:val="0"/>
      <w:marBottom w:val="0"/>
      <w:divBdr>
        <w:top w:val="none" w:sz="0" w:space="0" w:color="auto"/>
        <w:left w:val="none" w:sz="0" w:space="0" w:color="auto"/>
        <w:bottom w:val="none" w:sz="0" w:space="0" w:color="auto"/>
        <w:right w:val="none" w:sz="0" w:space="0" w:color="auto"/>
      </w:divBdr>
    </w:div>
    <w:div w:id="469901814">
      <w:bodyDiv w:val="1"/>
      <w:marLeft w:val="0"/>
      <w:marRight w:val="0"/>
      <w:marTop w:val="0"/>
      <w:marBottom w:val="0"/>
      <w:divBdr>
        <w:top w:val="none" w:sz="0" w:space="0" w:color="auto"/>
        <w:left w:val="none" w:sz="0" w:space="0" w:color="auto"/>
        <w:bottom w:val="none" w:sz="0" w:space="0" w:color="auto"/>
        <w:right w:val="none" w:sz="0" w:space="0" w:color="auto"/>
      </w:divBdr>
    </w:div>
    <w:div w:id="490754274">
      <w:bodyDiv w:val="1"/>
      <w:marLeft w:val="0"/>
      <w:marRight w:val="0"/>
      <w:marTop w:val="0"/>
      <w:marBottom w:val="0"/>
      <w:divBdr>
        <w:top w:val="none" w:sz="0" w:space="0" w:color="auto"/>
        <w:left w:val="none" w:sz="0" w:space="0" w:color="auto"/>
        <w:bottom w:val="none" w:sz="0" w:space="0" w:color="auto"/>
        <w:right w:val="none" w:sz="0" w:space="0" w:color="auto"/>
      </w:divBdr>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4803484">
      <w:bodyDiv w:val="1"/>
      <w:marLeft w:val="0"/>
      <w:marRight w:val="0"/>
      <w:marTop w:val="0"/>
      <w:marBottom w:val="0"/>
      <w:divBdr>
        <w:top w:val="none" w:sz="0" w:space="0" w:color="auto"/>
        <w:left w:val="none" w:sz="0" w:space="0" w:color="auto"/>
        <w:bottom w:val="none" w:sz="0" w:space="0" w:color="auto"/>
        <w:right w:val="none" w:sz="0" w:space="0" w:color="auto"/>
      </w:divBdr>
    </w:div>
    <w:div w:id="520894124">
      <w:bodyDiv w:val="1"/>
      <w:marLeft w:val="0"/>
      <w:marRight w:val="0"/>
      <w:marTop w:val="0"/>
      <w:marBottom w:val="0"/>
      <w:divBdr>
        <w:top w:val="none" w:sz="0" w:space="0" w:color="auto"/>
        <w:left w:val="none" w:sz="0" w:space="0" w:color="auto"/>
        <w:bottom w:val="none" w:sz="0" w:space="0" w:color="auto"/>
        <w:right w:val="none" w:sz="0" w:space="0" w:color="auto"/>
      </w:divBdr>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33494476">
      <w:bodyDiv w:val="1"/>
      <w:marLeft w:val="0"/>
      <w:marRight w:val="0"/>
      <w:marTop w:val="0"/>
      <w:marBottom w:val="0"/>
      <w:divBdr>
        <w:top w:val="none" w:sz="0" w:space="0" w:color="auto"/>
        <w:left w:val="none" w:sz="0" w:space="0" w:color="auto"/>
        <w:bottom w:val="none" w:sz="0" w:space="0" w:color="auto"/>
        <w:right w:val="none" w:sz="0" w:space="0" w:color="auto"/>
      </w:divBdr>
      <w:divsChild>
        <w:div w:id="538708950">
          <w:marLeft w:val="1166"/>
          <w:marRight w:val="0"/>
          <w:marTop w:val="134"/>
          <w:marBottom w:val="0"/>
          <w:divBdr>
            <w:top w:val="none" w:sz="0" w:space="0" w:color="auto"/>
            <w:left w:val="none" w:sz="0" w:space="0" w:color="auto"/>
            <w:bottom w:val="none" w:sz="0" w:space="0" w:color="auto"/>
            <w:right w:val="none" w:sz="0" w:space="0" w:color="auto"/>
          </w:divBdr>
        </w:div>
        <w:div w:id="2103143615">
          <w:marLeft w:val="1166"/>
          <w:marRight w:val="0"/>
          <w:marTop w:val="134"/>
          <w:marBottom w:val="0"/>
          <w:divBdr>
            <w:top w:val="none" w:sz="0" w:space="0" w:color="auto"/>
            <w:left w:val="none" w:sz="0" w:space="0" w:color="auto"/>
            <w:bottom w:val="none" w:sz="0" w:space="0" w:color="auto"/>
            <w:right w:val="none" w:sz="0" w:space="0" w:color="auto"/>
          </w:divBdr>
        </w:div>
      </w:divsChild>
    </w:div>
    <w:div w:id="541331415">
      <w:bodyDiv w:val="1"/>
      <w:marLeft w:val="0"/>
      <w:marRight w:val="0"/>
      <w:marTop w:val="0"/>
      <w:marBottom w:val="0"/>
      <w:divBdr>
        <w:top w:val="none" w:sz="0" w:space="0" w:color="auto"/>
        <w:left w:val="none" w:sz="0" w:space="0" w:color="auto"/>
        <w:bottom w:val="none" w:sz="0" w:space="0" w:color="auto"/>
        <w:right w:val="none" w:sz="0" w:space="0" w:color="auto"/>
      </w:divBdr>
    </w:div>
    <w:div w:id="563219725">
      <w:bodyDiv w:val="1"/>
      <w:marLeft w:val="0"/>
      <w:marRight w:val="0"/>
      <w:marTop w:val="0"/>
      <w:marBottom w:val="0"/>
      <w:divBdr>
        <w:top w:val="none" w:sz="0" w:space="0" w:color="auto"/>
        <w:left w:val="none" w:sz="0" w:space="0" w:color="auto"/>
        <w:bottom w:val="none" w:sz="0" w:space="0" w:color="auto"/>
        <w:right w:val="none" w:sz="0" w:space="0" w:color="auto"/>
      </w:divBdr>
    </w:div>
    <w:div w:id="584875214">
      <w:bodyDiv w:val="1"/>
      <w:marLeft w:val="0"/>
      <w:marRight w:val="0"/>
      <w:marTop w:val="0"/>
      <w:marBottom w:val="0"/>
      <w:divBdr>
        <w:top w:val="none" w:sz="0" w:space="0" w:color="auto"/>
        <w:left w:val="none" w:sz="0" w:space="0" w:color="auto"/>
        <w:bottom w:val="none" w:sz="0" w:space="0" w:color="auto"/>
        <w:right w:val="none" w:sz="0" w:space="0" w:color="auto"/>
      </w:divBdr>
      <w:divsChild>
        <w:div w:id="61679433">
          <w:marLeft w:val="1166"/>
          <w:marRight w:val="0"/>
          <w:marTop w:val="86"/>
          <w:marBottom w:val="0"/>
          <w:divBdr>
            <w:top w:val="none" w:sz="0" w:space="0" w:color="auto"/>
            <w:left w:val="none" w:sz="0" w:space="0" w:color="auto"/>
            <w:bottom w:val="none" w:sz="0" w:space="0" w:color="auto"/>
            <w:right w:val="none" w:sz="0" w:space="0" w:color="auto"/>
          </w:divBdr>
        </w:div>
        <w:div w:id="1017199400">
          <w:marLeft w:val="547"/>
          <w:marRight w:val="0"/>
          <w:marTop w:val="77"/>
          <w:marBottom w:val="0"/>
          <w:divBdr>
            <w:top w:val="none" w:sz="0" w:space="0" w:color="auto"/>
            <w:left w:val="none" w:sz="0" w:space="0" w:color="auto"/>
            <w:bottom w:val="none" w:sz="0" w:space="0" w:color="auto"/>
            <w:right w:val="none" w:sz="0" w:space="0" w:color="auto"/>
          </w:divBdr>
        </w:div>
        <w:div w:id="1750346127">
          <w:marLeft w:val="1166"/>
          <w:marRight w:val="0"/>
          <w:marTop w:val="86"/>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8814363">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228979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597824">
      <w:bodyDiv w:val="1"/>
      <w:marLeft w:val="0"/>
      <w:marRight w:val="0"/>
      <w:marTop w:val="0"/>
      <w:marBottom w:val="0"/>
      <w:divBdr>
        <w:top w:val="none" w:sz="0" w:space="0" w:color="auto"/>
        <w:left w:val="none" w:sz="0" w:space="0" w:color="auto"/>
        <w:bottom w:val="none" w:sz="0" w:space="0" w:color="auto"/>
        <w:right w:val="none" w:sz="0" w:space="0" w:color="auto"/>
      </w:divBdr>
      <w:divsChild>
        <w:div w:id="1144082603">
          <w:marLeft w:val="1166"/>
          <w:marRight w:val="0"/>
          <w:marTop w:val="77"/>
          <w:marBottom w:val="0"/>
          <w:divBdr>
            <w:top w:val="none" w:sz="0" w:space="0" w:color="auto"/>
            <w:left w:val="none" w:sz="0" w:space="0" w:color="auto"/>
            <w:bottom w:val="none" w:sz="0" w:space="0" w:color="auto"/>
            <w:right w:val="none" w:sz="0" w:space="0" w:color="auto"/>
          </w:divBdr>
        </w:div>
        <w:div w:id="1301375296">
          <w:marLeft w:val="1166"/>
          <w:marRight w:val="0"/>
          <w:marTop w:val="77"/>
          <w:marBottom w:val="0"/>
          <w:divBdr>
            <w:top w:val="none" w:sz="0" w:space="0" w:color="auto"/>
            <w:left w:val="none" w:sz="0" w:space="0" w:color="auto"/>
            <w:bottom w:val="none" w:sz="0" w:space="0" w:color="auto"/>
            <w:right w:val="none" w:sz="0" w:space="0" w:color="auto"/>
          </w:divBdr>
        </w:div>
        <w:div w:id="1458332116">
          <w:marLeft w:val="547"/>
          <w:marRight w:val="0"/>
          <w:marTop w:val="96"/>
          <w:marBottom w:val="0"/>
          <w:divBdr>
            <w:top w:val="none" w:sz="0" w:space="0" w:color="auto"/>
            <w:left w:val="none" w:sz="0" w:space="0" w:color="auto"/>
            <w:bottom w:val="none" w:sz="0" w:space="0" w:color="auto"/>
            <w:right w:val="none" w:sz="0" w:space="0" w:color="auto"/>
          </w:divBdr>
        </w:div>
        <w:div w:id="1904755458">
          <w:marLeft w:val="547"/>
          <w:marRight w:val="0"/>
          <w:marTop w:val="96"/>
          <w:marBottom w:val="0"/>
          <w:divBdr>
            <w:top w:val="none" w:sz="0" w:space="0" w:color="auto"/>
            <w:left w:val="none" w:sz="0" w:space="0" w:color="auto"/>
            <w:bottom w:val="none" w:sz="0" w:space="0" w:color="auto"/>
            <w:right w:val="none" w:sz="0" w:space="0" w:color="auto"/>
          </w:divBdr>
        </w:div>
        <w:div w:id="2016763125">
          <w:marLeft w:val="1166"/>
          <w:marRight w:val="0"/>
          <w:marTop w:val="77"/>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884966">
      <w:bodyDiv w:val="1"/>
      <w:marLeft w:val="0"/>
      <w:marRight w:val="0"/>
      <w:marTop w:val="0"/>
      <w:marBottom w:val="0"/>
      <w:divBdr>
        <w:top w:val="none" w:sz="0" w:space="0" w:color="auto"/>
        <w:left w:val="none" w:sz="0" w:space="0" w:color="auto"/>
        <w:bottom w:val="none" w:sz="0" w:space="0" w:color="auto"/>
        <w:right w:val="none" w:sz="0" w:space="0" w:color="auto"/>
      </w:divBdr>
      <w:divsChild>
        <w:div w:id="281109884">
          <w:marLeft w:val="360"/>
          <w:marRight w:val="0"/>
          <w:marTop w:val="200"/>
          <w:marBottom w:val="0"/>
          <w:divBdr>
            <w:top w:val="none" w:sz="0" w:space="0" w:color="auto"/>
            <w:left w:val="none" w:sz="0" w:space="0" w:color="auto"/>
            <w:bottom w:val="none" w:sz="0" w:space="0" w:color="auto"/>
            <w:right w:val="none" w:sz="0" w:space="0" w:color="auto"/>
          </w:divBdr>
        </w:div>
        <w:div w:id="412430147">
          <w:marLeft w:val="360"/>
          <w:marRight w:val="0"/>
          <w:marTop w:val="200"/>
          <w:marBottom w:val="0"/>
          <w:divBdr>
            <w:top w:val="none" w:sz="0" w:space="0" w:color="auto"/>
            <w:left w:val="none" w:sz="0" w:space="0" w:color="auto"/>
            <w:bottom w:val="none" w:sz="0" w:space="0" w:color="auto"/>
            <w:right w:val="none" w:sz="0" w:space="0" w:color="auto"/>
          </w:divBdr>
        </w:div>
        <w:div w:id="1038428521">
          <w:marLeft w:val="360"/>
          <w:marRight w:val="0"/>
          <w:marTop w:val="200"/>
          <w:marBottom w:val="0"/>
          <w:divBdr>
            <w:top w:val="none" w:sz="0" w:space="0" w:color="auto"/>
            <w:left w:val="none" w:sz="0" w:space="0" w:color="auto"/>
            <w:bottom w:val="none" w:sz="0" w:space="0" w:color="auto"/>
            <w:right w:val="none" w:sz="0" w:space="0" w:color="auto"/>
          </w:divBdr>
        </w:div>
      </w:divsChild>
    </w:div>
    <w:div w:id="860362917">
      <w:bodyDiv w:val="1"/>
      <w:marLeft w:val="0"/>
      <w:marRight w:val="0"/>
      <w:marTop w:val="0"/>
      <w:marBottom w:val="0"/>
      <w:divBdr>
        <w:top w:val="none" w:sz="0" w:space="0" w:color="auto"/>
        <w:left w:val="none" w:sz="0" w:space="0" w:color="auto"/>
        <w:bottom w:val="none" w:sz="0" w:space="0" w:color="auto"/>
        <w:right w:val="none" w:sz="0" w:space="0" w:color="auto"/>
      </w:divBdr>
    </w:div>
    <w:div w:id="872233541">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31622512">
      <w:bodyDiv w:val="1"/>
      <w:marLeft w:val="0"/>
      <w:marRight w:val="0"/>
      <w:marTop w:val="0"/>
      <w:marBottom w:val="0"/>
      <w:divBdr>
        <w:top w:val="none" w:sz="0" w:space="0" w:color="auto"/>
        <w:left w:val="none" w:sz="0" w:space="0" w:color="auto"/>
        <w:bottom w:val="none" w:sz="0" w:space="0" w:color="auto"/>
        <w:right w:val="none" w:sz="0" w:space="0" w:color="auto"/>
      </w:divBdr>
      <w:divsChild>
        <w:div w:id="230118601">
          <w:marLeft w:val="547"/>
          <w:marRight w:val="0"/>
          <w:marTop w:val="115"/>
          <w:marBottom w:val="0"/>
          <w:divBdr>
            <w:top w:val="none" w:sz="0" w:space="0" w:color="auto"/>
            <w:left w:val="none" w:sz="0" w:space="0" w:color="auto"/>
            <w:bottom w:val="none" w:sz="0" w:space="0" w:color="auto"/>
            <w:right w:val="none" w:sz="0" w:space="0" w:color="auto"/>
          </w:divBdr>
        </w:div>
        <w:div w:id="1191528634">
          <w:marLeft w:val="1166"/>
          <w:marRight w:val="0"/>
          <w:marTop w:val="96"/>
          <w:marBottom w:val="0"/>
          <w:divBdr>
            <w:top w:val="none" w:sz="0" w:space="0" w:color="auto"/>
            <w:left w:val="none" w:sz="0" w:space="0" w:color="auto"/>
            <w:bottom w:val="none" w:sz="0" w:space="0" w:color="auto"/>
            <w:right w:val="none" w:sz="0" w:space="0" w:color="auto"/>
          </w:divBdr>
        </w:div>
      </w:divsChild>
    </w:div>
    <w:div w:id="934019913">
      <w:bodyDiv w:val="1"/>
      <w:marLeft w:val="0"/>
      <w:marRight w:val="0"/>
      <w:marTop w:val="0"/>
      <w:marBottom w:val="0"/>
      <w:divBdr>
        <w:top w:val="none" w:sz="0" w:space="0" w:color="auto"/>
        <w:left w:val="none" w:sz="0" w:space="0" w:color="auto"/>
        <w:bottom w:val="none" w:sz="0" w:space="0" w:color="auto"/>
        <w:right w:val="none" w:sz="0" w:space="0" w:color="auto"/>
      </w:divBdr>
      <w:divsChild>
        <w:div w:id="112788967">
          <w:marLeft w:val="547"/>
          <w:marRight w:val="0"/>
          <w:marTop w:val="154"/>
          <w:marBottom w:val="0"/>
          <w:divBdr>
            <w:top w:val="none" w:sz="0" w:space="0" w:color="auto"/>
            <w:left w:val="none" w:sz="0" w:space="0" w:color="auto"/>
            <w:bottom w:val="none" w:sz="0" w:space="0" w:color="auto"/>
            <w:right w:val="none" w:sz="0" w:space="0" w:color="auto"/>
          </w:divBdr>
        </w:div>
        <w:div w:id="470681962">
          <w:marLeft w:val="547"/>
          <w:marRight w:val="0"/>
          <w:marTop w:val="154"/>
          <w:marBottom w:val="0"/>
          <w:divBdr>
            <w:top w:val="none" w:sz="0" w:space="0" w:color="auto"/>
            <w:left w:val="none" w:sz="0" w:space="0" w:color="auto"/>
            <w:bottom w:val="none" w:sz="0" w:space="0" w:color="auto"/>
            <w:right w:val="none" w:sz="0" w:space="0" w:color="auto"/>
          </w:divBdr>
        </w:div>
      </w:divsChild>
    </w:div>
    <w:div w:id="946427182">
      <w:bodyDiv w:val="1"/>
      <w:marLeft w:val="0"/>
      <w:marRight w:val="0"/>
      <w:marTop w:val="0"/>
      <w:marBottom w:val="0"/>
      <w:divBdr>
        <w:top w:val="none" w:sz="0" w:space="0" w:color="auto"/>
        <w:left w:val="none" w:sz="0" w:space="0" w:color="auto"/>
        <w:bottom w:val="none" w:sz="0" w:space="0" w:color="auto"/>
        <w:right w:val="none" w:sz="0" w:space="0" w:color="auto"/>
      </w:divBdr>
      <w:divsChild>
        <w:div w:id="345131647">
          <w:marLeft w:val="1008"/>
          <w:marRight w:val="0"/>
          <w:marTop w:val="120"/>
          <w:marBottom w:val="0"/>
          <w:divBdr>
            <w:top w:val="none" w:sz="0" w:space="0" w:color="auto"/>
            <w:left w:val="none" w:sz="0" w:space="0" w:color="auto"/>
            <w:bottom w:val="none" w:sz="0" w:space="0" w:color="auto"/>
            <w:right w:val="none" w:sz="0" w:space="0" w:color="auto"/>
          </w:divBdr>
        </w:div>
        <w:div w:id="374352751">
          <w:marLeft w:val="1008"/>
          <w:marRight w:val="0"/>
          <w:marTop w:val="120"/>
          <w:marBottom w:val="0"/>
          <w:divBdr>
            <w:top w:val="none" w:sz="0" w:space="0" w:color="auto"/>
            <w:left w:val="none" w:sz="0" w:space="0" w:color="auto"/>
            <w:bottom w:val="none" w:sz="0" w:space="0" w:color="auto"/>
            <w:right w:val="none" w:sz="0" w:space="0" w:color="auto"/>
          </w:divBdr>
        </w:div>
        <w:div w:id="1037200553">
          <w:marLeft w:val="1008"/>
          <w:marRight w:val="0"/>
          <w:marTop w:val="120"/>
          <w:marBottom w:val="0"/>
          <w:divBdr>
            <w:top w:val="none" w:sz="0" w:space="0" w:color="auto"/>
            <w:left w:val="none" w:sz="0" w:space="0" w:color="auto"/>
            <w:bottom w:val="none" w:sz="0" w:space="0" w:color="auto"/>
            <w:right w:val="none" w:sz="0" w:space="0" w:color="auto"/>
          </w:divBdr>
        </w:div>
        <w:div w:id="1264800982">
          <w:marLeft w:val="1008"/>
          <w:marRight w:val="0"/>
          <w:marTop w:val="120"/>
          <w:marBottom w:val="0"/>
          <w:divBdr>
            <w:top w:val="none" w:sz="0" w:space="0" w:color="auto"/>
            <w:left w:val="none" w:sz="0" w:space="0" w:color="auto"/>
            <w:bottom w:val="none" w:sz="0" w:space="0" w:color="auto"/>
            <w:right w:val="none" w:sz="0" w:space="0" w:color="auto"/>
          </w:divBdr>
        </w:div>
        <w:div w:id="2036618801">
          <w:marLeft w:val="1008"/>
          <w:marRight w:val="0"/>
          <w:marTop w:val="120"/>
          <w:marBottom w:val="0"/>
          <w:divBdr>
            <w:top w:val="none" w:sz="0" w:space="0" w:color="auto"/>
            <w:left w:val="none" w:sz="0" w:space="0" w:color="auto"/>
            <w:bottom w:val="none" w:sz="0" w:space="0" w:color="auto"/>
            <w:right w:val="none" w:sz="0" w:space="0" w:color="auto"/>
          </w:divBdr>
        </w:div>
      </w:divsChild>
    </w:div>
    <w:div w:id="947390671">
      <w:bodyDiv w:val="1"/>
      <w:marLeft w:val="0"/>
      <w:marRight w:val="0"/>
      <w:marTop w:val="0"/>
      <w:marBottom w:val="0"/>
      <w:divBdr>
        <w:top w:val="none" w:sz="0" w:space="0" w:color="auto"/>
        <w:left w:val="none" w:sz="0" w:space="0" w:color="auto"/>
        <w:bottom w:val="none" w:sz="0" w:space="0" w:color="auto"/>
        <w:right w:val="none" w:sz="0" w:space="0" w:color="auto"/>
      </w:divBdr>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16081599">
      <w:bodyDiv w:val="1"/>
      <w:marLeft w:val="0"/>
      <w:marRight w:val="0"/>
      <w:marTop w:val="0"/>
      <w:marBottom w:val="0"/>
      <w:divBdr>
        <w:top w:val="none" w:sz="0" w:space="0" w:color="auto"/>
        <w:left w:val="none" w:sz="0" w:space="0" w:color="auto"/>
        <w:bottom w:val="none" w:sz="0" w:space="0" w:color="auto"/>
        <w:right w:val="none" w:sz="0" w:space="0" w:color="auto"/>
      </w:divBdr>
    </w:div>
    <w:div w:id="1061293614">
      <w:bodyDiv w:val="1"/>
      <w:marLeft w:val="0"/>
      <w:marRight w:val="0"/>
      <w:marTop w:val="0"/>
      <w:marBottom w:val="0"/>
      <w:divBdr>
        <w:top w:val="none" w:sz="0" w:space="0" w:color="auto"/>
        <w:left w:val="none" w:sz="0" w:space="0" w:color="auto"/>
        <w:bottom w:val="none" w:sz="0" w:space="0" w:color="auto"/>
        <w:right w:val="none" w:sz="0" w:space="0" w:color="auto"/>
      </w:divBdr>
      <w:divsChild>
        <w:div w:id="302589224">
          <w:marLeft w:val="1166"/>
          <w:marRight w:val="0"/>
          <w:marTop w:val="106"/>
          <w:marBottom w:val="0"/>
          <w:divBdr>
            <w:top w:val="none" w:sz="0" w:space="0" w:color="auto"/>
            <w:left w:val="none" w:sz="0" w:space="0" w:color="auto"/>
            <w:bottom w:val="none" w:sz="0" w:space="0" w:color="auto"/>
            <w:right w:val="none" w:sz="0" w:space="0" w:color="auto"/>
          </w:divBdr>
        </w:div>
        <w:div w:id="430054324">
          <w:marLeft w:val="1800"/>
          <w:marRight w:val="0"/>
          <w:marTop w:val="106"/>
          <w:marBottom w:val="0"/>
          <w:divBdr>
            <w:top w:val="none" w:sz="0" w:space="0" w:color="auto"/>
            <w:left w:val="none" w:sz="0" w:space="0" w:color="auto"/>
            <w:bottom w:val="none" w:sz="0" w:space="0" w:color="auto"/>
            <w:right w:val="none" w:sz="0" w:space="0" w:color="auto"/>
          </w:divBdr>
        </w:div>
        <w:div w:id="595285047">
          <w:marLeft w:val="1166"/>
          <w:marRight w:val="0"/>
          <w:marTop w:val="106"/>
          <w:marBottom w:val="0"/>
          <w:divBdr>
            <w:top w:val="none" w:sz="0" w:space="0" w:color="auto"/>
            <w:left w:val="none" w:sz="0" w:space="0" w:color="auto"/>
            <w:bottom w:val="none" w:sz="0" w:space="0" w:color="auto"/>
            <w:right w:val="none" w:sz="0" w:space="0" w:color="auto"/>
          </w:divBdr>
        </w:div>
        <w:div w:id="757215467">
          <w:marLeft w:val="1166"/>
          <w:marRight w:val="0"/>
          <w:marTop w:val="106"/>
          <w:marBottom w:val="0"/>
          <w:divBdr>
            <w:top w:val="none" w:sz="0" w:space="0" w:color="auto"/>
            <w:left w:val="none" w:sz="0" w:space="0" w:color="auto"/>
            <w:bottom w:val="none" w:sz="0" w:space="0" w:color="auto"/>
            <w:right w:val="none" w:sz="0" w:space="0" w:color="auto"/>
          </w:divBdr>
        </w:div>
        <w:div w:id="769664417">
          <w:marLeft w:val="1166"/>
          <w:marRight w:val="0"/>
          <w:marTop w:val="106"/>
          <w:marBottom w:val="0"/>
          <w:divBdr>
            <w:top w:val="none" w:sz="0" w:space="0" w:color="auto"/>
            <w:left w:val="none" w:sz="0" w:space="0" w:color="auto"/>
            <w:bottom w:val="none" w:sz="0" w:space="0" w:color="auto"/>
            <w:right w:val="none" w:sz="0" w:space="0" w:color="auto"/>
          </w:divBdr>
        </w:div>
        <w:div w:id="1784302855">
          <w:marLeft w:val="1800"/>
          <w:marRight w:val="0"/>
          <w:marTop w:val="106"/>
          <w:marBottom w:val="0"/>
          <w:divBdr>
            <w:top w:val="none" w:sz="0" w:space="0" w:color="auto"/>
            <w:left w:val="none" w:sz="0" w:space="0" w:color="auto"/>
            <w:bottom w:val="none" w:sz="0" w:space="0" w:color="auto"/>
            <w:right w:val="none" w:sz="0" w:space="0" w:color="auto"/>
          </w:divBdr>
        </w:div>
        <w:div w:id="2106458174">
          <w:marLeft w:val="547"/>
          <w:marRight w:val="0"/>
          <w:marTop w:val="106"/>
          <w:marBottom w:val="0"/>
          <w:divBdr>
            <w:top w:val="none" w:sz="0" w:space="0" w:color="auto"/>
            <w:left w:val="none" w:sz="0" w:space="0" w:color="auto"/>
            <w:bottom w:val="none" w:sz="0" w:space="0" w:color="auto"/>
            <w:right w:val="none" w:sz="0" w:space="0" w:color="auto"/>
          </w:divBdr>
        </w:div>
      </w:divsChild>
    </w:div>
    <w:div w:id="1066026751">
      <w:bodyDiv w:val="1"/>
      <w:marLeft w:val="0"/>
      <w:marRight w:val="0"/>
      <w:marTop w:val="0"/>
      <w:marBottom w:val="0"/>
      <w:divBdr>
        <w:top w:val="none" w:sz="0" w:space="0" w:color="auto"/>
        <w:left w:val="none" w:sz="0" w:space="0" w:color="auto"/>
        <w:bottom w:val="none" w:sz="0" w:space="0" w:color="auto"/>
        <w:right w:val="none" w:sz="0" w:space="0" w:color="auto"/>
      </w:divBdr>
    </w:div>
    <w:div w:id="1068653695">
      <w:bodyDiv w:val="1"/>
      <w:marLeft w:val="0"/>
      <w:marRight w:val="0"/>
      <w:marTop w:val="0"/>
      <w:marBottom w:val="0"/>
      <w:divBdr>
        <w:top w:val="none" w:sz="0" w:space="0" w:color="auto"/>
        <w:left w:val="none" w:sz="0" w:space="0" w:color="auto"/>
        <w:bottom w:val="none" w:sz="0" w:space="0" w:color="auto"/>
        <w:right w:val="none" w:sz="0" w:space="0" w:color="auto"/>
      </w:divBdr>
      <w:divsChild>
        <w:div w:id="203910136">
          <w:marLeft w:val="547"/>
          <w:marRight w:val="0"/>
          <w:marTop w:val="130"/>
          <w:marBottom w:val="0"/>
          <w:divBdr>
            <w:top w:val="none" w:sz="0" w:space="0" w:color="auto"/>
            <w:left w:val="none" w:sz="0" w:space="0" w:color="auto"/>
            <w:bottom w:val="none" w:sz="0" w:space="0" w:color="auto"/>
            <w:right w:val="none" w:sz="0" w:space="0" w:color="auto"/>
          </w:divBdr>
        </w:div>
        <w:div w:id="278922555">
          <w:marLeft w:val="547"/>
          <w:marRight w:val="0"/>
          <w:marTop w:val="130"/>
          <w:marBottom w:val="0"/>
          <w:divBdr>
            <w:top w:val="none" w:sz="0" w:space="0" w:color="auto"/>
            <w:left w:val="none" w:sz="0" w:space="0" w:color="auto"/>
            <w:bottom w:val="none" w:sz="0" w:space="0" w:color="auto"/>
            <w:right w:val="none" w:sz="0" w:space="0" w:color="auto"/>
          </w:divBdr>
        </w:div>
        <w:div w:id="798842808">
          <w:marLeft w:val="1166"/>
          <w:marRight w:val="0"/>
          <w:marTop w:val="115"/>
          <w:marBottom w:val="0"/>
          <w:divBdr>
            <w:top w:val="none" w:sz="0" w:space="0" w:color="auto"/>
            <w:left w:val="none" w:sz="0" w:space="0" w:color="auto"/>
            <w:bottom w:val="none" w:sz="0" w:space="0" w:color="auto"/>
            <w:right w:val="none" w:sz="0" w:space="0" w:color="auto"/>
          </w:divBdr>
        </w:div>
        <w:div w:id="1198814017">
          <w:marLeft w:val="1166"/>
          <w:marRight w:val="0"/>
          <w:marTop w:val="115"/>
          <w:marBottom w:val="0"/>
          <w:divBdr>
            <w:top w:val="none" w:sz="0" w:space="0" w:color="auto"/>
            <w:left w:val="none" w:sz="0" w:space="0" w:color="auto"/>
            <w:bottom w:val="none" w:sz="0" w:space="0" w:color="auto"/>
            <w:right w:val="none" w:sz="0" w:space="0" w:color="auto"/>
          </w:divBdr>
        </w:div>
      </w:divsChild>
    </w:div>
    <w:div w:id="1129013864">
      <w:bodyDiv w:val="1"/>
      <w:marLeft w:val="0"/>
      <w:marRight w:val="0"/>
      <w:marTop w:val="0"/>
      <w:marBottom w:val="0"/>
      <w:divBdr>
        <w:top w:val="none" w:sz="0" w:space="0" w:color="auto"/>
        <w:left w:val="none" w:sz="0" w:space="0" w:color="auto"/>
        <w:bottom w:val="none" w:sz="0" w:space="0" w:color="auto"/>
        <w:right w:val="none" w:sz="0" w:space="0" w:color="auto"/>
      </w:divBdr>
      <w:divsChild>
        <w:div w:id="314184260">
          <w:marLeft w:val="547"/>
          <w:marRight w:val="0"/>
          <w:marTop w:val="115"/>
          <w:marBottom w:val="0"/>
          <w:divBdr>
            <w:top w:val="none" w:sz="0" w:space="0" w:color="auto"/>
            <w:left w:val="none" w:sz="0" w:space="0" w:color="auto"/>
            <w:bottom w:val="none" w:sz="0" w:space="0" w:color="auto"/>
            <w:right w:val="none" w:sz="0" w:space="0" w:color="auto"/>
          </w:divBdr>
        </w:div>
        <w:div w:id="341398405">
          <w:marLeft w:val="1166"/>
          <w:marRight w:val="0"/>
          <w:marTop w:val="96"/>
          <w:marBottom w:val="0"/>
          <w:divBdr>
            <w:top w:val="none" w:sz="0" w:space="0" w:color="auto"/>
            <w:left w:val="none" w:sz="0" w:space="0" w:color="auto"/>
            <w:bottom w:val="none" w:sz="0" w:space="0" w:color="auto"/>
            <w:right w:val="none" w:sz="0" w:space="0" w:color="auto"/>
          </w:divBdr>
        </w:div>
      </w:divsChild>
    </w:div>
    <w:div w:id="113922850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22254061">
      <w:bodyDiv w:val="1"/>
      <w:marLeft w:val="0"/>
      <w:marRight w:val="0"/>
      <w:marTop w:val="0"/>
      <w:marBottom w:val="0"/>
      <w:divBdr>
        <w:top w:val="none" w:sz="0" w:space="0" w:color="auto"/>
        <w:left w:val="none" w:sz="0" w:space="0" w:color="auto"/>
        <w:bottom w:val="none" w:sz="0" w:space="0" w:color="auto"/>
        <w:right w:val="none" w:sz="0" w:space="0" w:color="auto"/>
      </w:divBdr>
      <w:divsChild>
        <w:div w:id="83961647">
          <w:marLeft w:val="1166"/>
          <w:marRight w:val="0"/>
          <w:marTop w:val="96"/>
          <w:marBottom w:val="0"/>
          <w:divBdr>
            <w:top w:val="none" w:sz="0" w:space="0" w:color="auto"/>
            <w:left w:val="none" w:sz="0" w:space="0" w:color="auto"/>
            <w:bottom w:val="none" w:sz="0" w:space="0" w:color="auto"/>
            <w:right w:val="none" w:sz="0" w:space="0" w:color="auto"/>
          </w:divBdr>
        </w:div>
        <w:div w:id="1293171024">
          <w:marLeft w:val="547"/>
          <w:marRight w:val="0"/>
          <w:marTop w:val="115"/>
          <w:marBottom w:val="0"/>
          <w:divBdr>
            <w:top w:val="none" w:sz="0" w:space="0" w:color="auto"/>
            <w:left w:val="none" w:sz="0" w:space="0" w:color="auto"/>
            <w:bottom w:val="none" w:sz="0" w:space="0" w:color="auto"/>
            <w:right w:val="none" w:sz="0" w:space="0" w:color="auto"/>
          </w:divBdr>
        </w:div>
      </w:divsChild>
    </w:div>
    <w:div w:id="1241794897">
      <w:bodyDiv w:val="1"/>
      <w:marLeft w:val="0"/>
      <w:marRight w:val="0"/>
      <w:marTop w:val="0"/>
      <w:marBottom w:val="0"/>
      <w:divBdr>
        <w:top w:val="none" w:sz="0" w:space="0" w:color="auto"/>
        <w:left w:val="none" w:sz="0" w:space="0" w:color="auto"/>
        <w:bottom w:val="none" w:sz="0" w:space="0" w:color="auto"/>
        <w:right w:val="none" w:sz="0" w:space="0" w:color="auto"/>
      </w:divBdr>
      <w:divsChild>
        <w:div w:id="573977391">
          <w:marLeft w:val="1008"/>
          <w:marRight w:val="0"/>
          <w:marTop w:val="120"/>
          <w:marBottom w:val="0"/>
          <w:divBdr>
            <w:top w:val="none" w:sz="0" w:space="0" w:color="auto"/>
            <w:left w:val="none" w:sz="0" w:space="0" w:color="auto"/>
            <w:bottom w:val="none" w:sz="0" w:space="0" w:color="auto"/>
            <w:right w:val="none" w:sz="0" w:space="0" w:color="auto"/>
          </w:divBdr>
        </w:div>
        <w:div w:id="1187599668">
          <w:marLeft w:val="1008"/>
          <w:marRight w:val="0"/>
          <w:marTop w:val="120"/>
          <w:marBottom w:val="0"/>
          <w:divBdr>
            <w:top w:val="none" w:sz="0" w:space="0" w:color="auto"/>
            <w:left w:val="none" w:sz="0" w:space="0" w:color="auto"/>
            <w:bottom w:val="none" w:sz="0" w:space="0" w:color="auto"/>
            <w:right w:val="none" w:sz="0" w:space="0" w:color="auto"/>
          </w:divBdr>
        </w:div>
        <w:div w:id="1988197331">
          <w:marLeft w:val="1008"/>
          <w:marRight w:val="0"/>
          <w:marTop w:val="120"/>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4702188">
      <w:bodyDiv w:val="1"/>
      <w:marLeft w:val="0"/>
      <w:marRight w:val="0"/>
      <w:marTop w:val="0"/>
      <w:marBottom w:val="0"/>
      <w:divBdr>
        <w:top w:val="none" w:sz="0" w:space="0" w:color="auto"/>
        <w:left w:val="none" w:sz="0" w:space="0" w:color="auto"/>
        <w:bottom w:val="none" w:sz="0" w:space="0" w:color="auto"/>
        <w:right w:val="none" w:sz="0" w:space="0" w:color="auto"/>
      </w:divBdr>
      <w:divsChild>
        <w:div w:id="1889605722">
          <w:marLeft w:val="547"/>
          <w:marRight w:val="0"/>
          <w:marTop w:val="115"/>
          <w:marBottom w:val="0"/>
          <w:divBdr>
            <w:top w:val="none" w:sz="0" w:space="0" w:color="auto"/>
            <w:left w:val="none" w:sz="0" w:space="0" w:color="auto"/>
            <w:bottom w:val="none" w:sz="0" w:space="0" w:color="auto"/>
            <w:right w:val="none" w:sz="0" w:space="0" w:color="auto"/>
          </w:divBdr>
        </w:div>
      </w:divsChild>
    </w:div>
    <w:div w:id="1260720330">
      <w:bodyDiv w:val="1"/>
      <w:marLeft w:val="0"/>
      <w:marRight w:val="0"/>
      <w:marTop w:val="0"/>
      <w:marBottom w:val="0"/>
      <w:divBdr>
        <w:top w:val="none" w:sz="0" w:space="0" w:color="auto"/>
        <w:left w:val="none" w:sz="0" w:space="0" w:color="auto"/>
        <w:bottom w:val="none" w:sz="0" w:space="0" w:color="auto"/>
        <w:right w:val="none" w:sz="0" w:space="0" w:color="auto"/>
      </w:divBdr>
    </w:div>
    <w:div w:id="1274633459">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92395500">
      <w:bodyDiv w:val="1"/>
      <w:marLeft w:val="0"/>
      <w:marRight w:val="0"/>
      <w:marTop w:val="0"/>
      <w:marBottom w:val="0"/>
      <w:divBdr>
        <w:top w:val="none" w:sz="0" w:space="0" w:color="auto"/>
        <w:left w:val="none" w:sz="0" w:space="0" w:color="auto"/>
        <w:bottom w:val="none" w:sz="0" w:space="0" w:color="auto"/>
        <w:right w:val="none" w:sz="0" w:space="0" w:color="auto"/>
      </w:divBdr>
    </w:div>
    <w:div w:id="1293561669">
      <w:bodyDiv w:val="1"/>
      <w:marLeft w:val="0"/>
      <w:marRight w:val="0"/>
      <w:marTop w:val="0"/>
      <w:marBottom w:val="0"/>
      <w:divBdr>
        <w:top w:val="none" w:sz="0" w:space="0" w:color="auto"/>
        <w:left w:val="none" w:sz="0" w:space="0" w:color="auto"/>
        <w:bottom w:val="none" w:sz="0" w:space="0" w:color="auto"/>
        <w:right w:val="none" w:sz="0" w:space="0" w:color="auto"/>
      </w:divBdr>
      <w:divsChild>
        <w:div w:id="86386051">
          <w:marLeft w:val="3240"/>
          <w:marRight w:val="0"/>
          <w:marTop w:val="67"/>
          <w:marBottom w:val="0"/>
          <w:divBdr>
            <w:top w:val="none" w:sz="0" w:space="0" w:color="auto"/>
            <w:left w:val="none" w:sz="0" w:space="0" w:color="auto"/>
            <w:bottom w:val="none" w:sz="0" w:space="0" w:color="auto"/>
            <w:right w:val="none" w:sz="0" w:space="0" w:color="auto"/>
          </w:divBdr>
        </w:div>
        <w:div w:id="108473147">
          <w:marLeft w:val="2520"/>
          <w:marRight w:val="0"/>
          <w:marTop w:val="77"/>
          <w:marBottom w:val="0"/>
          <w:divBdr>
            <w:top w:val="none" w:sz="0" w:space="0" w:color="auto"/>
            <w:left w:val="none" w:sz="0" w:space="0" w:color="auto"/>
            <w:bottom w:val="none" w:sz="0" w:space="0" w:color="auto"/>
            <w:right w:val="none" w:sz="0" w:space="0" w:color="auto"/>
          </w:divBdr>
        </w:div>
        <w:div w:id="289629456">
          <w:marLeft w:val="2520"/>
          <w:marRight w:val="0"/>
          <w:marTop w:val="77"/>
          <w:marBottom w:val="0"/>
          <w:divBdr>
            <w:top w:val="none" w:sz="0" w:space="0" w:color="auto"/>
            <w:left w:val="none" w:sz="0" w:space="0" w:color="auto"/>
            <w:bottom w:val="none" w:sz="0" w:space="0" w:color="auto"/>
            <w:right w:val="none" w:sz="0" w:space="0" w:color="auto"/>
          </w:divBdr>
        </w:div>
        <w:div w:id="762455200">
          <w:marLeft w:val="2160"/>
          <w:marRight w:val="0"/>
          <w:marTop w:val="86"/>
          <w:marBottom w:val="0"/>
          <w:divBdr>
            <w:top w:val="none" w:sz="0" w:space="0" w:color="auto"/>
            <w:left w:val="none" w:sz="0" w:space="0" w:color="auto"/>
            <w:bottom w:val="none" w:sz="0" w:space="0" w:color="auto"/>
            <w:right w:val="none" w:sz="0" w:space="0" w:color="auto"/>
          </w:divBdr>
        </w:div>
        <w:div w:id="1116290278">
          <w:marLeft w:val="3240"/>
          <w:marRight w:val="0"/>
          <w:marTop w:val="67"/>
          <w:marBottom w:val="0"/>
          <w:divBdr>
            <w:top w:val="none" w:sz="0" w:space="0" w:color="auto"/>
            <w:left w:val="none" w:sz="0" w:space="0" w:color="auto"/>
            <w:bottom w:val="none" w:sz="0" w:space="0" w:color="auto"/>
            <w:right w:val="none" w:sz="0" w:space="0" w:color="auto"/>
          </w:divBdr>
        </w:div>
        <w:div w:id="1449859733">
          <w:marLeft w:val="2160"/>
          <w:marRight w:val="0"/>
          <w:marTop w:val="86"/>
          <w:marBottom w:val="0"/>
          <w:divBdr>
            <w:top w:val="none" w:sz="0" w:space="0" w:color="auto"/>
            <w:left w:val="none" w:sz="0" w:space="0" w:color="auto"/>
            <w:bottom w:val="none" w:sz="0" w:space="0" w:color="auto"/>
            <w:right w:val="none" w:sz="0" w:space="0" w:color="auto"/>
          </w:divBdr>
        </w:div>
        <w:div w:id="1673218525">
          <w:marLeft w:val="2520"/>
          <w:marRight w:val="0"/>
          <w:marTop w:val="77"/>
          <w:marBottom w:val="0"/>
          <w:divBdr>
            <w:top w:val="none" w:sz="0" w:space="0" w:color="auto"/>
            <w:left w:val="none" w:sz="0" w:space="0" w:color="auto"/>
            <w:bottom w:val="none" w:sz="0" w:space="0" w:color="auto"/>
            <w:right w:val="none" w:sz="0" w:space="0" w:color="auto"/>
          </w:divBdr>
        </w:div>
      </w:divsChild>
    </w:div>
    <w:div w:id="1332947975">
      <w:bodyDiv w:val="1"/>
      <w:marLeft w:val="0"/>
      <w:marRight w:val="0"/>
      <w:marTop w:val="0"/>
      <w:marBottom w:val="0"/>
      <w:divBdr>
        <w:top w:val="none" w:sz="0" w:space="0" w:color="auto"/>
        <w:left w:val="none" w:sz="0" w:space="0" w:color="auto"/>
        <w:bottom w:val="none" w:sz="0" w:space="0" w:color="auto"/>
        <w:right w:val="none" w:sz="0" w:space="0" w:color="auto"/>
      </w:divBdr>
      <w:divsChild>
        <w:div w:id="44065164">
          <w:marLeft w:val="1166"/>
          <w:marRight w:val="0"/>
          <w:marTop w:val="86"/>
          <w:marBottom w:val="0"/>
          <w:divBdr>
            <w:top w:val="none" w:sz="0" w:space="0" w:color="auto"/>
            <w:left w:val="none" w:sz="0" w:space="0" w:color="auto"/>
            <w:bottom w:val="none" w:sz="0" w:space="0" w:color="auto"/>
            <w:right w:val="none" w:sz="0" w:space="0" w:color="auto"/>
          </w:divBdr>
        </w:div>
        <w:div w:id="93325348">
          <w:marLeft w:val="1166"/>
          <w:marRight w:val="0"/>
          <w:marTop w:val="86"/>
          <w:marBottom w:val="0"/>
          <w:divBdr>
            <w:top w:val="none" w:sz="0" w:space="0" w:color="auto"/>
            <w:left w:val="none" w:sz="0" w:space="0" w:color="auto"/>
            <w:bottom w:val="none" w:sz="0" w:space="0" w:color="auto"/>
            <w:right w:val="none" w:sz="0" w:space="0" w:color="auto"/>
          </w:divBdr>
        </w:div>
        <w:div w:id="181089495">
          <w:marLeft w:val="547"/>
          <w:marRight w:val="0"/>
          <w:marTop w:val="86"/>
          <w:marBottom w:val="0"/>
          <w:divBdr>
            <w:top w:val="none" w:sz="0" w:space="0" w:color="auto"/>
            <w:left w:val="none" w:sz="0" w:space="0" w:color="auto"/>
            <w:bottom w:val="none" w:sz="0" w:space="0" w:color="auto"/>
            <w:right w:val="none" w:sz="0" w:space="0" w:color="auto"/>
          </w:divBdr>
        </w:div>
        <w:div w:id="1027751333">
          <w:marLeft w:val="1166"/>
          <w:marRight w:val="0"/>
          <w:marTop w:val="86"/>
          <w:marBottom w:val="0"/>
          <w:divBdr>
            <w:top w:val="none" w:sz="0" w:space="0" w:color="auto"/>
            <w:left w:val="none" w:sz="0" w:space="0" w:color="auto"/>
            <w:bottom w:val="none" w:sz="0" w:space="0" w:color="auto"/>
            <w:right w:val="none" w:sz="0" w:space="0" w:color="auto"/>
          </w:divBdr>
        </w:div>
        <w:div w:id="1854025477">
          <w:marLeft w:val="547"/>
          <w:marRight w:val="0"/>
          <w:marTop w:val="86"/>
          <w:marBottom w:val="0"/>
          <w:divBdr>
            <w:top w:val="none" w:sz="0" w:space="0" w:color="auto"/>
            <w:left w:val="none" w:sz="0" w:space="0" w:color="auto"/>
            <w:bottom w:val="none" w:sz="0" w:space="0" w:color="auto"/>
            <w:right w:val="none" w:sz="0" w:space="0" w:color="auto"/>
          </w:divBdr>
        </w:div>
        <w:div w:id="1890917677">
          <w:marLeft w:val="1800"/>
          <w:marRight w:val="0"/>
          <w:marTop w:val="86"/>
          <w:marBottom w:val="0"/>
          <w:divBdr>
            <w:top w:val="none" w:sz="0" w:space="0" w:color="auto"/>
            <w:left w:val="none" w:sz="0" w:space="0" w:color="auto"/>
            <w:bottom w:val="none" w:sz="0" w:space="0" w:color="auto"/>
            <w:right w:val="none" w:sz="0" w:space="0" w:color="auto"/>
          </w:divBdr>
        </w:div>
      </w:divsChild>
    </w:div>
    <w:div w:id="1348747506">
      <w:bodyDiv w:val="1"/>
      <w:marLeft w:val="0"/>
      <w:marRight w:val="0"/>
      <w:marTop w:val="0"/>
      <w:marBottom w:val="0"/>
      <w:divBdr>
        <w:top w:val="none" w:sz="0" w:space="0" w:color="auto"/>
        <w:left w:val="none" w:sz="0" w:space="0" w:color="auto"/>
        <w:bottom w:val="none" w:sz="0" w:space="0" w:color="auto"/>
        <w:right w:val="none" w:sz="0" w:space="0" w:color="auto"/>
      </w:divBdr>
    </w:div>
    <w:div w:id="1394886134">
      <w:bodyDiv w:val="1"/>
      <w:marLeft w:val="0"/>
      <w:marRight w:val="0"/>
      <w:marTop w:val="0"/>
      <w:marBottom w:val="0"/>
      <w:divBdr>
        <w:top w:val="none" w:sz="0" w:space="0" w:color="auto"/>
        <w:left w:val="none" w:sz="0" w:space="0" w:color="auto"/>
        <w:bottom w:val="none" w:sz="0" w:space="0" w:color="auto"/>
        <w:right w:val="none" w:sz="0" w:space="0" w:color="auto"/>
      </w:divBdr>
      <w:divsChild>
        <w:div w:id="59599563">
          <w:marLeft w:val="1166"/>
          <w:marRight w:val="0"/>
          <w:marTop w:val="96"/>
          <w:marBottom w:val="0"/>
          <w:divBdr>
            <w:top w:val="none" w:sz="0" w:space="0" w:color="auto"/>
            <w:left w:val="none" w:sz="0" w:space="0" w:color="auto"/>
            <w:bottom w:val="none" w:sz="0" w:space="0" w:color="auto"/>
            <w:right w:val="none" w:sz="0" w:space="0" w:color="auto"/>
          </w:divBdr>
        </w:div>
        <w:div w:id="367145740">
          <w:marLeft w:val="1800"/>
          <w:marRight w:val="0"/>
          <w:marTop w:val="77"/>
          <w:marBottom w:val="0"/>
          <w:divBdr>
            <w:top w:val="none" w:sz="0" w:space="0" w:color="auto"/>
            <w:left w:val="none" w:sz="0" w:space="0" w:color="auto"/>
            <w:bottom w:val="none" w:sz="0" w:space="0" w:color="auto"/>
            <w:right w:val="none" w:sz="0" w:space="0" w:color="auto"/>
          </w:divBdr>
        </w:div>
        <w:div w:id="530992520">
          <w:marLeft w:val="1166"/>
          <w:marRight w:val="0"/>
          <w:marTop w:val="96"/>
          <w:marBottom w:val="0"/>
          <w:divBdr>
            <w:top w:val="none" w:sz="0" w:space="0" w:color="auto"/>
            <w:left w:val="none" w:sz="0" w:space="0" w:color="auto"/>
            <w:bottom w:val="none" w:sz="0" w:space="0" w:color="auto"/>
            <w:right w:val="none" w:sz="0" w:space="0" w:color="auto"/>
          </w:divBdr>
        </w:div>
        <w:div w:id="564684082">
          <w:marLeft w:val="1166"/>
          <w:marRight w:val="0"/>
          <w:marTop w:val="96"/>
          <w:marBottom w:val="0"/>
          <w:divBdr>
            <w:top w:val="none" w:sz="0" w:space="0" w:color="auto"/>
            <w:left w:val="none" w:sz="0" w:space="0" w:color="auto"/>
            <w:bottom w:val="none" w:sz="0" w:space="0" w:color="auto"/>
            <w:right w:val="none" w:sz="0" w:space="0" w:color="auto"/>
          </w:divBdr>
        </w:div>
        <w:div w:id="869104421">
          <w:marLeft w:val="1800"/>
          <w:marRight w:val="0"/>
          <w:marTop w:val="77"/>
          <w:marBottom w:val="0"/>
          <w:divBdr>
            <w:top w:val="none" w:sz="0" w:space="0" w:color="auto"/>
            <w:left w:val="none" w:sz="0" w:space="0" w:color="auto"/>
            <w:bottom w:val="none" w:sz="0" w:space="0" w:color="auto"/>
            <w:right w:val="none" w:sz="0" w:space="0" w:color="auto"/>
          </w:divBdr>
        </w:div>
        <w:div w:id="1307469423">
          <w:marLeft w:val="1800"/>
          <w:marRight w:val="0"/>
          <w:marTop w:val="77"/>
          <w:marBottom w:val="0"/>
          <w:divBdr>
            <w:top w:val="none" w:sz="0" w:space="0" w:color="auto"/>
            <w:left w:val="none" w:sz="0" w:space="0" w:color="auto"/>
            <w:bottom w:val="none" w:sz="0" w:space="0" w:color="auto"/>
            <w:right w:val="none" w:sz="0" w:space="0" w:color="auto"/>
          </w:divBdr>
        </w:div>
        <w:div w:id="1380326269">
          <w:marLeft w:val="547"/>
          <w:marRight w:val="0"/>
          <w:marTop w:val="154"/>
          <w:marBottom w:val="0"/>
          <w:divBdr>
            <w:top w:val="none" w:sz="0" w:space="0" w:color="auto"/>
            <w:left w:val="none" w:sz="0" w:space="0" w:color="auto"/>
            <w:bottom w:val="none" w:sz="0" w:space="0" w:color="auto"/>
            <w:right w:val="none" w:sz="0" w:space="0" w:color="auto"/>
          </w:divBdr>
        </w:div>
      </w:divsChild>
    </w:div>
    <w:div w:id="1395080498">
      <w:bodyDiv w:val="1"/>
      <w:marLeft w:val="0"/>
      <w:marRight w:val="0"/>
      <w:marTop w:val="0"/>
      <w:marBottom w:val="0"/>
      <w:divBdr>
        <w:top w:val="none" w:sz="0" w:space="0" w:color="auto"/>
        <w:left w:val="none" w:sz="0" w:space="0" w:color="auto"/>
        <w:bottom w:val="none" w:sz="0" w:space="0" w:color="auto"/>
        <w:right w:val="none" w:sz="0" w:space="0" w:color="auto"/>
      </w:divBdr>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303566">
      <w:bodyDiv w:val="1"/>
      <w:marLeft w:val="0"/>
      <w:marRight w:val="0"/>
      <w:marTop w:val="0"/>
      <w:marBottom w:val="0"/>
      <w:divBdr>
        <w:top w:val="none" w:sz="0" w:space="0" w:color="auto"/>
        <w:left w:val="none" w:sz="0" w:space="0" w:color="auto"/>
        <w:bottom w:val="none" w:sz="0" w:space="0" w:color="auto"/>
        <w:right w:val="none" w:sz="0" w:space="0" w:color="auto"/>
      </w:divBdr>
      <w:divsChild>
        <w:div w:id="739206106">
          <w:marLeft w:val="1166"/>
          <w:marRight w:val="0"/>
          <w:marTop w:val="96"/>
          <w:marBottom w:val="0"/>
          <w:divBdr>
            <w:top w:val="none" w:sz="0" w:space="0" w:color="auto"/>
            <w:left w:val="none" w:sz="0" w:space="0" w:color="auto"/>
            <w:bottom w:val="none" w:sz="0" w:space="0" w:color="auto"/>
            <w:right w:val="none" w:sz="0" w:space="0" w:color="auto"/>
          </w:divBdr>
        </w:div>
        <w:div w:id="752900532">
          <w:marLeft w:val="547"/>
          <w:marRight w:val="0"/>
          <w:marTop w:val="115"/>
          <w:marBottom w:val="0"/>
          <w:divBdr>
            <w:top w:val="none" w:sz="0" w:space="0" w:color="auto"/>
            <w:left w:val="none" w:sz="0" w:space="0" w:color="auto"/>
            <w:bottom w:val="none" w:sz="0" w:space="0" w:color="auto"/>
            <w:right w:val="none" w:sz="0" w:space="0" w:color="auto"/>
          </w:divBdr>
        </w:div>
        <w:div w:id="895512073">
          <w:marLeft w:val="1166"/>
          <w:marRight w:val="0"/>
          <w:marTop w:val="96"/>
          <w:marBottom w:val="0"/>
          <w:divBdr>
            <w:top w:val="none" w:sz="0" w:space="0" w:color="auto"/>
            <w:left w:val="none" w:sz="0" w:space="0" w:color="auto"/>
            <w:bottom w:val="none" w:sz="0" w:space="0" w:color="auto"/>
            <w:right w:val="none" w:sz="0" w:space="0" w:color="auto"/>
          </w:divBdr>
        </w:div>
        <w:div w:id="1105072733">
          <w:marLeft w:val="1166"/>
          <w:marRight w:val="0"/>
          <w:marTop w:val="96"/>
          <w:marBottom w:val="0"/>
          <w:divBdr>
            <w:top w:val="none" w:sz="0" w:space="0" w:color="auto"/>
            <w:left w:val="none" w:sz="0" w:space="0" w:color="auto"/>
            <w:bottom w:val="none" w:sz="0" w:space="0" w:color="auto"/>
            <w:right w:val="none" w:sz="0" w:space="0" w:color="auto"/>
          </w:divBdr>
        </w:div>
        <w:div w:id="1204637699">
          <w:marLeft w:val="1166"/>
          <w:marRight w:val="0"/>
          <w:marTop w:val="96"/>
          <w:marBottom w:val="0"/>
          <w:divBdr>
            <w:top w:val="none" w:sz="0" w:space="0" w:color="auto"/>
            <w:left w:val="none" w:sz="0" w:space="0" w:color="auto"/>
            <w:bottom w:val="none" w:sz="0" w:space="0" w:color="auto"/>
            <w:right w:val="none" w:sz="0" w:space="0" w:color="auto"/>
          </w:divBdr>
        </w:div>
        <w:div w:id="1340423373">
          <w:marLeft w:val="1166"/>
          <w:marRight w:val="0"/>
          <w:marTop w:val="96"/>
          <w:marBottom w:val="0"/>
          <w:divBdr>
            <w:top w:val="none" w:sz="0" w:space="0" w:color="auto"/>
            <w:left w:val="none" w:sz="0" w:space="0" w:color="auto"/>
            <w:bottom w:val="none" w:sz="0" w:space="0" w:color="auto"/>
            <w:right w:val="none" w:sz="0" w:space="0" w:color="auto"/>
          </w:divBdr>
        </w:div>
        <w:div w:id="1369139525">
          <w:marLeft w:val="1166"/>
          <w:marRight w:val="0"/>
          <w:marTop w:val="96"/>
          <w:marBottom w:val="0"/>
          <w:divBdr>
            <w:top w:val="none" w:sz="0" w:space="0" w:color="auto"/>
            <w:left w:val="none" w:sz="0" w:space="0" w:color="auto"/>
            <w:bottom w:val="none" w:sz="0" w:space="0" w:color="auto"/>
            <w:right w:val="none" w:sz="0" w:space="0" w:color="auto"/>
          </w:divBdr>
        </w:div>
        <w:div w:id="1393960730">
          <w:marLeft w:val="1166"/>
          <w:marRight w:val="0"/>
          <w:marTop w:val="96"/>
          <w:marBottom w:val="0"/>
          <w:divBdr>
            <w:top w:val="none" w:sz="0" w:space="0" w:color="auto"/>
            <w:left w:val="none" w:sz="0" w:space="0" w:color="auto"/>
            <w:bottom w:val="none" w:sz="0" w:space="0" w:color="auto"/>
            <w:right w:val="none" w:sz="0" w:space="0" w:color="auto"/>
          </w:divBdr>
        </w:div>
        <w:div w:id="1700618295">
          <w:marLeft w:val="547"/>
          <w:marRight w:val="0"/>
          <w:marTop w:val="115"/>
          <w:marBottom w:val="0"/>
          <w:divBdr>
            <w:top w:val="none" w:sz="0" w:space="0" w:color="auto"/>
            <w:left w:val="none" w:sz="0" w:space="0" w:color="auto"/>
            <w:bottom w:val="none" w:sz="0" w:space="0" w:color="auto"/>
            <w:right w:val="none" w:sz="0" w:space="0" w:color="auto"/>
          </w:divBdr>
        </w:div>
      </w:divsChild>
    </w:div>
    <w:div w:id="1487166871">
      <w:bodyDiv w:val="1"/>
      <w:marLeft w:val="0"/>
      <w:marRight w:val="0"/>
      <w:marTop w:val="0"/>
      <w:marBottom w:val="0"/>
      <w:divBdr>
        <w:top w:val="none" w:sz="0" w:space="0" w:color="auto"/>
        <w:left w:val="none" w:sz="0" w:space="0" w:color="auto"/>
        <w:bottom w:val="none" w:sz="0" w:space="0" w:color="auto"/>
        <w:right w:val="none" w:sz="0" w:space="0" w:color="auto"/>
      </w:divBdr>
    </w:div>
    <w:div w:id="1495993504">
      <w:bodyDiv w:val="1"/>
      <w:marLeft w:val="0"/>
      <w:marRight w:val="0"/>
      <w:marTop w:val="0"/>
      <w:marBottom w:val="0"/>
      <w:divBdr>
        <w:top w:val="none" w:sz="0" w:space="0" w:color="auto"/>
        <w:left w:val="none" w:sz="0" w:space="0" w:color="auto"/>
        <w:bottom w:val="none" w:sz="0" w:space="0" w:color="auto"/>
        <w:right w:val="none" w:sz="0" w:space="0" w:color="auto"/>
      </w:divBdr>
      <w:divsChild>
        <w:div w:id="226844101">
          <w:marLeft w:val="547"/>
          <w:marRight w:val="0"/>
          <w:marTop w:val="115"/>
          <w:marBottom w:val="0"/>
          <w:divBdr>
            <w:top w:val="none" w:sz="0" w:space="0" w:color="auto"/>
            <w:left w:val="none" w:sz="0" w:space="0" w:color="auto"/>
            <w:bottom w:val="none" w:sz="0" w:space="0" w:color="auto"/>
            <w:right w:val="none" w:sz="0" w:space="0" w:color="auto"/>
          </w:divBdr>
        </w:div>
        <w:div w:id="468278647">
          <w:marLeft w:val="547"/>
          <w:marRight w:val="0"/>
          <w:marTop w:val="96"/>
          <w:marBottom w:val="0"/>
          <w:divBdr>
            <w:top w:val="none" w:sz="0" w:space="0" w:color="auto"/>
            <w:left w:val="none" w:sz="0" w:space="0" w:color="auto"/>
            <w:bottom w:val="none" w:sz="0" w:space="0" w:color="auto"/>
            <w:right w:val="none" w:sz="0" w:space="0" w:color="auto"/>
          </w:divBdr>
        </w:div>
        <w:div w:id="713121308">
          <w:marLeft w:val="547"/>
          <w:marRight w:val="0"/>
          <w:marTop w:val="115"/>
          <w:marBottom w:val="0"/>
          <w:divBdr>
            <w:top w:val="none" w:sz="0" w:space="0" w:color="auto"/>
            <w:left w:val="none" w:sz="0" w:space="0" w:color="auto"/>
            <w:bottom w:val="none" w:sz="0" w:space="0" w:color="auto"/>
            <w:right w:val="none" w:sz="0" w:space="0" w:color="auto"/>
          </w:divBdr>
        </w:div>
        <w:div w:id="1015616554">
          <w:marLeft w:val="1166"/>
          <w:marRight w:val="0"/>
          <w:marTop w:val="86"/>
          <w:marBottom w:val="0"/>
          <w:divBdr>
            <w:top w:val="none" w:sz="0" w:space="0" w:color="auto"/>
            <w:left w:val="none" w:sz="0" w:space="0" w:color="auto"/>
            <w:bottom w:val="none" w:sz="0" w:space="0" w:color="auto"/>
            <w:right w:val="none" w:sz="0" w:space="0" w:color="auto"/>
          </w:divBdr>
        </w:div>
        <w:div w:id="1157302688">
          <w:marLeft w:val="1166"/>
          <w:marRight w:val="0"/>
          <w:marTop w:val="86"/>
          <w:marBottom w:val="0"/>
          <w:divBdr>
            <w:top w:val="none" w:sz="0" w:space="0" w:color="auto"/>
            <w:left w:val="none" w:sz="0" w:space="0" w:color="auto"/>
            <w:bottom w:val="none" w:sz="0" w:space="0" w:color="auto"/>
            <w:right w:val="none" w:sz="0" w:space="0" w:color="auto"/>
          </w:divBdr>
        </w:div>
        <w:div w:id="2127650558">
          <w:marLeft w:val="547"/>
          <w:marRight w:val="0"/>
          <w:marTop w:val="106"/>
          <w:marBottom w:val="0"/>
          <w:divBdr>
            <w:top w:val="none" w:sz="0" w:space="0" w:color="auto"/>
            <w:left w:val="none" w:sz="0" w:space="0" w:color="auto"/>
            <w:bottom w:val="none" w:sz="0" w:space="0" w:color="auto"/>
            <w:right w:val="none" w:sz="0" w:space="0" w:color="auto"/>
          </w:divBdr>
        </w:div>
        <w:div w:id="2138333704">
          <w:marLeft w:val="1166"/>
          <w:marRight w:val="0"/>
          <w:marTop w:val="86"/>
          <w:marBottom w:val="0"/>
          <w:divBdr>
            <w:top w:val="none" w:sz="0" w:space="0" w:color="auto"/>
            <w:left w:val="none" w:sz="0" w:space="0" w:color="auto"/>
            <w:bottom w:val="none" w:sz="0" w:space="0" w:color="auto"/>
            <w:right w:val="none" w:sz="0" w:space="0" w:color="auto"/>
          </w:divBdr>
        </w:div>
      </w:divsChild>
    </w:div>
    <w:div w:id="1509102713">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08847334">
      <w:bodyDiv w:val="1"/>
      <w:marLeft w:val="0"/>
      <w:marRight w:val="0"/>
      <w:marTop w:val="0"/>
      <w:marBottom w:val="0"/>
      <w:divBdr>
        <w:top w:val="none" w:sz="0" w:space="0" w:color="auto"/>
        <w:left w:val="none" w:sz="0" w:space="0" w:color="auto"/>
        <w:bottom w:val="none" w:sz="0" w:space="0" w:color="auto"/>
        <w:right w:val="none" w:sz="0" w:space="0" w:color="auto"/>
      </w:divBdr>
      <w:divsChild>
        <w:div w:id="1046484781">
          <w:marLeft w:val="547"/>
          <w:marRight w:val="0"/>
          <w:marTop w:val="130"/>
          <w:marBottom w:val="0"/>
          <w:divBdr>
            <w:top w:val="none" w:sz="0" w:space="0" w:color="auto"/>
            <w:left w:val="none" w:sz="0" w:space="0" w:color="auto"/>
            <w:bottom w:val="none" w:sz="0" w:space="0" w:color="auto"/>
            <w:right w:val="none" w:sz="0" w:space="0" w:color="auto"/>
          </w:divBdr>
        </w:div>
        <w:div w:id="1272401137">
          <w:marLeft w:val="547"/>
          <w:marRight w:val="0"/>
          <w:marTop w:val="130"/>
          <w:marBottom w:val="0"/>
          <w:divBdr>
            <w:top w:val="none" w:sz="0" w:space="0" w:color="auto"/>
            <w:left w:val="none" w:sz="0" w:space="0" w:color="auto"/>
            <w:bottom w:val="none" w:sz="0" w:space="0" w:color="auto"/>
            <w:right w:val="none" w:sz="0" w:space="0" w:color="auto"/>
          </w:divBdr>
        </w:div>
        <w:div w:id="1457988524">
          <w:marLeft w:val="1166"/>
          <w:marRight w:val="0"/>
          <w:marTop w:val="115"/>
          <w:marBottom w:val="0"/>
          <w:divBdr>
            <w:top w:val="none" w:sz="0" w:space="0" w:color="auto"/>
            <w:left w:val="none" w:sz="0" w:space="0" w:color="auto"/>
            <w:bottom w:val="none" w:sz="0" w:space="0" w:color="auto"/>
            <w:right w:val="none" w:sz="0" w:space="0" w:color="auto"/>
          </w:divBdr>
        </w:div>
        <w:div w:id="1574856144">
          <w:marLeft w:val="1166"/>
          <w:marRight w:val="0"/>
          <w:marTop w:val="115"/>
          <w:marBottom w:val="0"/>
          <w:divBdr>
            <w:top w:val="none" w:sz="0" w:space="0" w:color="auto"/>
            <w:left w:val="none" w:sz="0" w:space="0" w:color="auto"/>
            <w:bottom w:val="none" w:sz="0" w:space="0" w:color="auto"/>
            <w:right w:val="none" w:sz="0" w:space="0" w:color="auto"/>
          </w:divBdr>
        </w:div>
      </w:divsChild>
    </w:div>
    <w:div w:id="1620994611">
      <w:bodyDiv w:val="1"/>
      <w:marLeft w:val="0"/>
      <w:marRight w:val="0"/>
      <w:marTop w:val="0"/>
      <w:marBottom w:val="0"/>
      <w:divBdr>
        <w:top w:val="none" w:sz="0" w:space="0" w:color="auto"/>
        <w:left w:val="none" w:sz="0" w:space="0" w:color="auto"/>
        <w:bottom w:val="none" w:sz="0" w:space="0" w:color="auto"/>
        <w:right w:val="none" w:sz="0" w:space="0" w:color="auto"/>
      </w:divBdr>
      <w:divsChild>
        <w:div w:id="1526287354">
          <w:marLeft w:val="1166"/>
          <w:marRight w:val="0"/>
          <w:marTop w:val="77"/>
          <w:marBottom w:val="0"/>
          <w:divBdr>
            <w:top w:val="none" w:sz="0" w:space="0" w:color="auto"/>
            <w:left w:val="none" w:sz="0" w:space="0" w:color="auto"/>
            <w:bottom w:val="none" w:sz="0" w:space="0" w:color="auto"/>
            <w:right w:val="none" w:sz="0" w:space="0" w:color="auto"/>
          </w:divBdr>
        </w:div>
      </w:divsChild>
    </w:div>
    <w:div w:id="1627005202">
      <w:bodyDiv w:val="1"/>
      <w:marLeft w:val="0"/>
      <w:marRight w:val="0"/>
      <w:marTop w:val="0"/>
      <w:marBottom w:val="0"/>
      <w:divBdr>
        <w:top w:val="none" w:sz="0" w:space="0" w:color="auto"/>
        <w:left w:val="none" w:sz="0" w:space="0" w:color="auto"/>
        <w:bottom w:val="none" w:sz="0" w:space="0" w:color="auto"/>
        <w:right w:val="none" w:sz="0" w:space="0" w:color="auto"/>
      </w:divBdr>
      <w:divsChild>
        <w:div w:id="104544140">
          <w:marLeft w:val="1800"/>
          <w:marRight w:val="0"/>
          <w:marTop w:val="86"/>
          <w:marBottom w:val="0"/>
          <w:divBdr>
            <w:top w:val="none" w:sz="0" w:space="0" w:color="auto"/>
            <w:left w:val="none" w:sz="0" w:space="0" w:color="auto"/>
            <w:bottom w:val="none" w:sz="0" w:space="0" w:color="auto"/>
            <w:right w:val="none" w:sz="0" w:space="0" w:color="auto"/>
          </w:divBdr>
        </w:div>
        <w:div w:id="687485681">
          <w:marLeft w:val="1166"/>
          <w:marRight w:val="0"/>
          <w:marTop w:val="96"/>
          <w:marBottom w:val="0"/>
          <w:divBdr>
            <w:top w:val="none" w:sz="0" w:space="0" w:color="auto"/>
            <w:left w:val="none" w:sz="0" w:space="0" w:color="auto"/>
            <w:bottom w:val="none" w:sz="0" w:space="0" w:color="auto"/>
            <w:right w:val="none" w:sz="0" w:space="0" w:color="auto"/>
          </w:divBdr>
        </w:div>
        <w:div w:id="714157685">
          <w:marLeft w:val="547"/>
          <w:marRight w:val="0"/>
          <w:marTop w:val="115"/>
          <w:marBottom w:val="0"/>
          <w:divBdr>
            <w:top w:val="none" w:sz="0" w:space="0" w:color="auto"/>
            <w:left w:val="none" w:sz="0" w:space="0" w:color="auto"/>
            <w:bottom w:val="none" w:sz="0" w:space="0" w:color="auto"/>
            <w:right w:val="none" w:sz="0" w:space="0" w:color="auto"/>
          </w:divBdr>
        </w:div>
        <w:div w:id="914977396">
          <w:marLeft w:val="1166"/>
          <w:marRight w:val="0"/>
          <w:marTop w:val="96"/>
          <w:marBottom w:val="0"/>
          <w:divBdr>
            <w:top w:val="none" w:sz="0" w:space="0" w:color="auto"/>
            <w:left w:val="none" w:sz="0" w:space="0" w:color="auto"/>
            <w:bottom w:val="none" w:sz="0" w:space="0" w:color="auto"/>
            <w:right w:val="none" w:sz="0" w:space="0" w:color="auto"/>
          </w:divBdr>
        </w:div>
        <w:div w:id="1006714440">
          <w:marLeft w:val="1800"/>
          <w:marRight w:val="0"/>
          <w:marTop w:val="86"/>
          <w:marBottom w:val="0"/>
          <w:divBdr>
            <w:top w:val="none" w:sz="0" w:space="0" w:color="auto"/>
            <w:left w:val="none" w:sz="0" w:space="0" w:color="auto"/>
            <w:bottom w:val="none" w:sz="0" w:space="0" w:color="auto"/>
            <w:right w:val="none" w:sz="0" w:space="0" w:color="auto"/>
          </w:divBdr>
        </w:div>
        <w:div w:id="1223180236">
          <w:marLeft w:val="1166"/>
          <w:marRight w:val="0"/>
          <w:marTop w:val="96"/>
          <w:marBottom w:val="0"/>
          <w:divBdr>
            <w:top w:val="none" w:sz="0" w:space="0" w:color="auto"/>
            <w:left w:val="none" w:sz="0" w:space="0" w:color="auto"/>
            <w:bottom w:val="none" w:sz="0" w:space="0" w:color="auto"/>
            <w:right w:val="none" w:sz="0" w:space="0" w:color="auto"/>
          </w:divBdr>
        </w:div>
        <w:div w:id="1572351442">
          <w:marLeft w:val="1166"/>
          <w:marRight w:val="0"/>
          <w:marTop w:val="96"/>
          <w:marBottom w:val="0"/>
          <w:divBdr>
            <w:top w:val="none" w:sz="0" w:space="0" w:color="auto"/>
            <w:left w:val="none" w:sz="0" w:space="0" w:color="auto"/>
            <w:bottom w:val="none" w:sz="0" w:space="0" w:color="auto"/>
            <w:right w:val="none" w:sz="0" w:space="0" w:color="auto"/>
          </w:divBdr>
        </w:div>
        <w:div w:id="1734814972">
          <w:marLeft w:val="1800"/>
          <w:marRight w:val="0"/>
          <w:marTop w:val="77"/>
          <w:marBottom w:val="0"/>
          <w:divBdr>
            <w:top w:val="none" w:sz="0" w:space="0" w:color="auto"/>
            <w:left w:val="none" w:sz="0" w:space="0" w:color="auto"/>
            <w:bottom w:val="none" w:sz="0" w:space="0" w:color="auto"/>
            <w:right w:val="none" w:sz="0" w:space="0" w:color="auto"/>
          </w:divBdr>
        </w:div>
      </w:divsChild>
    </w:div>
    <w:div w:id="1685790743">
      <w:bodyDiv w:val="1"/>
      <w:marLeft w:val="0"/>
      <w:marRight w:val="0"/>
      <w:marTop w:val="0"/>
      <w:marBottom w:val="0"/>
      <w:divBdr>
        <w:top w:val="none" w:sz="0" w:space="0" w:color="auto"/>
        <w:left w:val="none" w:sz="0" w:space="0" w:color="auto"/>
        <w:bottom w:val="none" w:sz="0" w:space="0" w:color="auto"/>
        <w:right w:val="none" w:sz="0" w:space="0" w:color="auto"/>
      </w:divBdr>
      <w:divsChild>
        <w:div w:id="460536904">
          <w:marLeft w:val="1008"/>
          <w:marRight w:val="0"/>
          <w:marTop w:val="120"/>
          <w:marBottom w:val="0"/>
          <w:divBdr>
            <w:top w:val="none" w:sz="0" w:space="0" w:color="auto"/>
            <w:left w:val="none" w:sz="0" w:space="0" w:color="auto"/>
            <w:bottom w:val="none" w:sz="0" w:space="0" w:color="auto"/>
            <w:right w:val="none" w:sz="0" w:space="0" w:color="auto"/>
          </w:divBdr>
        </w:div>
        <w:div w:id="983585436">
          <w:marLeft w:val="1008"/>
          <w:marRight w:val="0"/>
          <w:marTop w:val="120"/>
          <w:marBottom w:val="0"/>
          <w:divBdr>
            <w:top w:val="none" w:sz="0" w:space="0" w:color="auto"/>
            <w:left w:val="none" w:sz="0" w:space="0" w:color="auto"/>
            <w:bottom w:val="none" w:sz="0" w:space="0" w:color="auto"/>
            <w:right w:val="none" w:sz="0" w:space="0" w:color="auto"/>
          </w:divBdr>
        </w:div>
        <w:div w:id="1262373945">
          <w:marLeft w:val="1008"/>
          <w:marRight w:val="0"/>
          <w:marTop w:val="120"/>
          <w:marBottom w:val="0"/>
          <w:divBdr>
            <w:top w:val="none" w:sz="0" w:space="0" w:color="auto"/>
            <w:left w:val="none" w:sz="0" w:space="0" w:color="auto"/>
            <w:bottom w:val="none" w:sz="0" w:space="0" w:color="auto"/>
            <w:right w:val="none" w:sz="0" w:space="0" w:color="auto"/>
          </w:divBdr>
        </w:div>
        <w:div w:id="1578055433">
          <w:marLeft w:val="1008"/>
          <w:marRight w:val="0"/>
          <w:marTop w:val="120"/>
          <w:marBottom w:val="0"/>
          <w:divBdr>
            <w:top w:val="none" w:sz="0" w:space="0" w:color="auto"/>
            <w:left w:val="none" w:sz="0" w:space="0" w:color="auto"/>
            <w:bottom w:val="none" w:sz="0" w:space="0" w:color="auto"/>
            <w:right w:val="none" w:sz="0" w:space="0" w:color="auto"/>
          </w:divBdr>
        </w:div>
        <w:div w:id="2053578715">
          <w:marLeft w:val="1008"/>
          <w:marRight w:val="0"/>
          <w:marTop w:val="120"/>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28531120">
      <w:bodyDiv w:val="1"/>
      <w:marLeft w:val="0"/>
      <w:marRight w:val="0"/>
      <w:marTop w:val="0"/>
      <w:marBottom w:val="0"/>
      <w:divBdr>
        <w:top w:val="none" w:sz="0" w:space="0" w:color="auto"/>
        <w:left w:val="none" w:sz="0" w:space="0" w:color="auto"/>
        <w:bottom w:val="none" w:sz="0" w:space="0" w:color="auto"/>
        <w:right w:val="none" w:sz="0" w:space="0" w:color="auto"/>
      </w:divBdr>
      <w:divsChild>
        <w:div w:id="253785642">
          <w:marLeft w:val="1008"/>
          <w:marRight w:val="0"/>
          <w:marTop w:val="120"/>
          <w:marBottom w:val="0"/>
          <w:divBdr>
            <w:top w:val="none" w:sz="0" w:space="0" w:color="auto"/>
            <w:left w:val="none" w:sz="0" w:space="0" w:color="auto"/>
            <w:bottom w:val="none" w:sz="0" w:space="0" w:color="auto"/>
            <w:right w:val="none" w:sz="0" w:space="0" w:color="auto"/>
          </w:divBdr>
        </w:div>
        <w:div w:id="1155800485">
          <w:marLeft w:val="1008"/>
          <w:marRight w:val="0"/>
          <w:marTop w:val="120"/>
          <w:marBottom w:val="0"/>
          <w:divBdr>
            <w:top w:val="none" w:sz="0" w:space="0" w:color="auto"/>
            <w:left w:val="none" w:sz="0" w:space="0" w:color="auto"/>
            <w:bottom w:val="none" w:sz="0" w:space="0" w:color="auto"/>
            <w:right w:val="none" w:sz="0" w:space="0" w:color="auto"/>
          </w:divBdr>
        </w:div>
        <w:div w:id="1331834659">
          <w:marLeft w:val="1008"/>
          <w:marRight w:val="0"/>
          <w:marTop w:val="120"/>
          <w:marBottom w:val="0"/>
          <w:divBdr>
            <w:top w:val="none" w:sz="0" w:space="0" w:color="auto"/>
            <w:left w:val="none" w:sz="0" w:space="0" w:color="auto"/>
            <w:bottom w:val="none" w:sz="0" w:space="0" w:color="auto"/>
            <w:right w:val="none" w:sz="0" w:space="0" w:color="auto"/>
          </w:divBdr>
        </w:div>
        <w:div w:id="1806116901">
          <w:marLeft w:val="1008"/>
          <w:marRight w:val="0"/>
          <w:marTop w:val="120"/>
          <w:marBottom w:val="0"/>
          <w:divBdr>
            <w:top w:val="none" w:sz="0" w:space="0" w:color="auto"/>
            <w:left w:val="none" w:sz="0" w:space="0" w:color="auto"/>
            <w:bottom w:val="none" w:sz="0" w:space="0" w:color="auto"/>
            <w:right w:val="none" w:sz="0" w:space="0" w:color="auto"/>
          </w:divBdr>
        </w:div>
        <w:div w:id="2042705924">
          <w:marLeft w:val="1008"/>
          <w:marRight w:val="0"/>
          <w:marTop w:val="120"/>
          <w:marBottom w:val="0"/>
          <w:divBdr>
            <w:top w:val="none" w:sz="0" w:space="0" w:color="auto"/>
            <w:left w:val="none" w:sz="0" w:space="0" w:color="auto"/>
            <w:bottom w:val="none" w:sz="0" w:space="0" w:color="auto"/>
            <w:right w:val="none" w:sz="0" w:space="0" w:color="auto"/>
          </w:divBdr>
        </w:div>
      </w:divsChild>
    </w:div>
    <w:div w:id="1730348272">
      <w:bodyDiv w:val="1"/>
      <w:marLeft w:val="0"/>
      <w:marRight w:val="0"/>
      <w:marTop w:val="0"/>
      <w:marBottom w:val="0"/>
      <w:divBdr>
        <w:top w:val="none" w:sz="0" w:space="0" w:color="auto"/>
        <w:left w:val="none" w:sz="0" w:space="0" w:color="auto"/>
        <w:bottom w:val="none" w:sz="0" w:space="0" w:color="auto"/>
        <w:right w:val="none" w:sz="0" w:space="0" w:color="auto"/>
      </w:divBdr>
      <w:divsChild>
        <w:div w:id="167714240">
          <w:marLeft w:val="1166"/>
          <w:marRight w:val="0"/>
          <w:marTop w:val="96"/>
          <w:marBottom w:val="0"/>
          <w:divBdr>
            <w:top w:val="none" w:sz="0" w:space="0" w:color="auto"/>
            <w:left w:val="none" w:sz="0" w:space="0" w:color="auto"/>
            <w:bottom w:val="none" w:sz="0" w:space="0" w:color="auto"/>
            <w:right w:val="none" w:sz="0" w:space="0" w:color="auto"/>
          </w:divBdr>
        </w:div>
        <w:div w:id="203297129">
          <w:marLeft w:val="1800"/>
          <w:marRight w:val="0"/>
          <w:marTop w:val="77"/>
          <w:marBottom w:val="0"/>
          <w:divBdr>
            <w:top w:val="none" w:sz="0" w:space="0" w:color="auto"/>
            <w:left w:val="none" w:sz="0" w:space="0" w:color="auto"/>
            <w:bottom w:val="none" w:sz="0" w:space="0" w:color="auto"/>
            <w:right w:val="none" w:sz="0" w:space="0" w:color="auto"/>
          </w:divBdr>
        </w:div>
        <w:div w:id="238054265">
          <w:marLeft w:val="547"/>
          <w:marRight w:val="0"/>
          <w:marTop w:val="115"/>
          <w:marBottom w:val="0"/>
          <w:divBdr>
            <w:top w:val="none" w:sz="0" w:space="0" w:color="auto"/>
            <w:left w:val="none" w:sz="0" w:space="0" w:color="auto"/>
            <w:bottom w:val="none" w:sz="0" w:space="0" w:color="auto"/>
            <w:right w:val="none" w:sz="0" w:space="0" w:color="auto"/>
          </w:divBdr>
        </w:div>
        <w:div w:id="470834025">
          <w:marLeft w:val="1800"/>
          <w:marRight w:val="0"/>
          <w:marTop w:val="77"/>
          <w:marBottom w:val="0"/>
          <w:divBdr>
            <w:top w:val="none" w:sz="0" w:space="0" w:color="auto"/>
            <w:left w:val="none" w:sz="0" w:space="0" w:color="auto"/>
            <w:bottom w:val="none" w:sz="0" w:space="0" w:color="auto"/>
            <w:right w:val="none" w:sz="0" w:space="0" w:color="auto"/>
          </w:divBdr>
        </w:div>
        <w:div w:id="966811604">
          <w:marLeft w:val="1166"/>
          <w:marRight w:val="0"/>
          <w:marTop w:val="96"/>
          <w:marBottom w:val="0"/>
          <w:divBdr>
            <w:top w:val="none" w:sz="0" w:space="0" w:color="auto"/>
            <w:left w:val="none" w:sz="0" w:space="0" w:color="auto"/>
            <w:bottom w:val="none" w:sz="0" w:space="0" w:color="auto"/>
            <w:right w:val="none" w:sz="0" w:space="0" w:color="auto"/>
          </w:divBdr>
        </w:div>
        <w:div w:id="1767186233">
          <w:marLeft w:val="1166"/>
          <w:marRight w:val="0"/>
          <w:marTop w:val="115"/>
          <w:marBottom w:val="0"/>
          <w:divBdr>
            <w:top w:val="none" w:sz="0" w:space="0" w:color="auto"/>
            <w:left w:val="none" w:sz="0" w:space="0" w:color="auto"/>
            <w:bottom w:val="none" w:sz="0" w:space="0" w:color="auto"/>
            <w:right w:val="none" w:sz="0" w:space="0" w:color="auto"/>
          </w:divBdr>
        </w:div>
        <w:div w:id="1890729856">
          <w:marLeft w:val="1800"/>
          <w:marRight w:val="0"/>
          <w:marTop w:val="77"/>
          <w:marBottom w:val="0"/>
          <w:divBdr>
            <w:top w:val="none" w:sz="0" w:space="0" w:color="auto"/>
            <w:left w:val="none" w:sz="0" w:space="0" w:color="auto"/>
            <w:bottom w:val="none" w:sz="0" w:space="0" w:color="auto"/>
            <w:right w:val="none" w:sz="0" w:space="0" w:color="auto"/>
          </w:divBdr>
        </w:div>
        <w:div w:id="2007055078">
          <w:marLeft w:val="1800"/>
          <w:marRight w:val="0"/>
          <w:marTop w:val="77"/>
          <w:marBottom w:val="0"/>
          <w:divBdr>
            <w:top w:val="none" w:sz="0" w:space="0" w:color="auto"/>
            <w:left w:val="none" w:sz="0" w:space="0" w:color="auto"/>
            <w:bottom w:val="none" w:sz="0" w:space="0" w:color="auto"/>
            <w:right w:val="none" w:sz="0" w:space="0" w:color="auto"/>
          </w:divBdr>
        </w:div>
      </w:divsChild>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69350158">
      <w:bodyDiv w:val="1"/>
      <w:marLeft w:val="0"/>
      <w:marRight w:val="0"/>
      <w:marTop w:val="0"/>
      <w:marBottom w:val="0"/>
      <w:divBdr>
        <w:top w:val="none" w:sz="0" w:space="0" w:color="auto"/>
        <w:left w:val="none" w:sz="0" w:space="0" w:color="auto"/>
        <w:bottom w:val="none" w:sz="0" w:space="0" w:color="auto"/>
        <w:right w:val="none" w:sz="0" w:space="0" w:color="auto"/>
      </w:divBdr>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80508609">
      <w:bodyDiv w:val="1"/>
      <w:marLeft w:val="0"/>
      <w:marRight w:val="0"/>
      <w:marTop w:val="0"/>
      <w:marBottom w:val="0"/>
      <w:divBdr>
        <w:top w:val="none" w:sz="0" w:space="0" w:color="auto"/>
        <w:left w:val="none" w:sz="0" w:space="0" w:color="auto"/>
        <w:bottom w:val="none" w:sz="0" w:space="0" w:color="auto"/>
        <w:right w:val="none" w:sz="0" w:space="0" w:color="auto"/>
      </w:divBdr>
    </w:div>
    <w:div w:id="1890604112">
      <w:bodyDiv w:val="1"/>
      <w:marLeft w:val="0"/>
      <w:marRight w:val="0"/>
      <w:marTop w:val="0"/>
      <w:marBottom w:val="0"/>
      <w:divBdr>
        <w:top w:val="none" w:sz="0" w:space="0" w:color="auto"/>
        <w:left w:val="none" w:sz="0" w:space="0" w:color="auto"/>
        <w:bottom w:val="none" w:sz="0" w:space="0" w:color="auto"/>
        <w:right w:val="none" w:sz="0" w:space="0" w:color="auto"/>
      </w:divBdr>
      <w:divsChild>
        <w:div w:id="1918049835">
          <w:marLeft w:val="547"/>
          <w:marRight w:val="0"/>
          <w:marTop w:val="96"/>
          <w:marBottom w:val="0"/>
          <w:divBdr>
            <w:top w:val="none" w:sz="0" w:space="0" w:color="auto"/>
            <w:left w:val="none" w:sz="0" w:space="0" w:color="auto"/>
            <w:bottom w:val="none" w:sz="0" w:space="0" w:color="auto"/>
            <w:right w:val="none" w:sz="0" w:space="0" w:color="auto"/>
          </w:divBdr>
        </w:div>
        <w:div w:id="1507553875">
          <w:marLeft w:val="1166"/>
          <w:marRight w:val="0"/>
          <w:marTop w:val="77"/>
          <w:marBottom w:val="0"/>
          <w:divBdr>
            <w:top w:val="none" w:sz="0" w:space="0" w:color="auto"/>
            <w:left w:val="none" w:sz="0" w:space="0" w:color="auto"/>
            <w:bottom w:val="none" w:sz="0" w:space="0" w:color="auto"/>
            <w:right w:val="none" w:sz="0" w:space="0" w:color="auto"/>
          </w:divBdr>
        </w:div>
        <w:div w:id="454763034">
          <w:marLeft w:val="1166"/>
          <w:marRight w:val="0"/>
          <w:marTop w:val="77"/>
          <w:marBottom w:val="0"/>
          <w:divBdr>
            <w:top w:val="none" w:sz="0" w:space="0" w:color="auto"/>
            <w:left w:val="none" w:sz="0" w:space="0" w:color="auto"/>
            <w:bottom w:val="none" w:sz="0" w:space="0" w:color="auto"/>
            <w:right w:val="none" w:sz="0" w:space="0" w:color="auto"/>
          </w:divBdr>
        </w:div>
        <w:div w:id="1073114853">
          <w:marLeft w:val="1166"/>
          <w:marRight w:val="0"/>
          <w:marTop w:val="77"/>
          <w:marBottom w:val="0"/>
          <w:divBdr>
            <w:top w:val="none" w:sz="0" w:space="0" w:color="auto"/>
            <w:left w:val="none" w:sz="0" w:space="0" w:color="auto"/>
            <w:bottom w:val="none" w:sz="0" w:space="0" w:color="auto"/>
            <w:right w:val="none" w:sz="0" w:space="0" w:color="auto"/>
          </w:divBdr>
        </w:div>
        <w:div w:id="752243023">
          <w:marLeft w:val="1166"/>
          <w:marRight w:val="0"/>
          <w:marTop w:val="77"/>
          <w:marBottom w:val="0"/>
          <w:divBdr>
            <w:top w:val="none" w:sz="0" w:space="0" w:color="auto"/>
            <w:left w:val="none" w:sz="0" w:space="0" w:color="auto"/>
            <w:bottom w:val="none" w:sz="0" w:space="0" w:color="auto"/>
            <w:right w:val="none" w:sz="0" w:space="0" w:color="auto"/>
          </w:divBdr>
        </w:div>
      </w:divsChild>
    </w:div>
    <w:div w:id="1896501696">
      <w:bodyDiv w:val="1"/>
      <w:marLeft w:val="0"/>
      <w:marRight w:val="0"/>
      <w:marTop w:val="0"/>
      <w:marBottom w:val="0"/>
      <w:divBdr>
        <w:top w:val="none" w:sz="0" w:space="0" w:color="auto"/>
        <w:left w:val="none" w:sz="0" w:space="0" w:color="auto"/>
        <w:bottom w:val="none" w:sz="0" w:space="0" w:color="auto"/>
        <w:right w:val="none" w:sz="0" w:space="0" w:color="auto"/>
      </w:divBdr>
    </w:div>
    <w:div w:id="1914200732">
      <w:bodyDiv w:val="1"/>
      <w:marLeft w:val="0"/>
      <w:marRight w:val="0"/>
      <w:marTop w:val="0"/>
      <w:marBottom w:val="0"/>
      <w:divBdr>
        <w:top w:val="none" w:sz="0" w:space="0" w:color="auto"/>
        <w:left w:val="none" w:sz="0" w:space="0" w:color="auto"/>
        <w:bottom w:val="none" w:sz="0" w:space="0" w:color="auto"/>
        <w:right w:val="none" w:sz="0" w:space="0" w:color="auto"/>
      </w:divBdr>
      <w:divsChild>
        <w:div w:id="458377487">
          <w:marLeft w:val="1166"/>
          <w:marRight w:val="0"/>
          <w:marTop w:val="115"/>
          <w:marBottom w:val="0"/>
          <w:divBdr>
            <w:top w:val="none" w:sz="0" w:space="0" w:color="auto"/>
            <w:left w:val="none" w:sz="0" w:space="0" w:color="auto"/>
            <w:bottom w:val="none" w:sz="0" w:space="0" w:color="auto"/>
            <w:right w:val="none" w:sz="0" w:space="0" w:color="auto"/>
          </w:divBdr>
        </w:div>
        <w:div w:id="864058013">
          <w:marLeft w:val="1800"/>
          <w:marRight w:val="0"/>
          <w:marTop w:val="77"/>
          <w:marBottom w:val="0"/>
          <w:divBdr>
            <w:top w:val="none" w:sz="0" w:space="0" w:color="auto"/>
            <w:left w:val="none" w:sz="0" w:space="0" w:color="auto"/>
            <w:bottom w:val="none" w:sz="0" w:space="0" w:color="auto"/>
            <w:right w:val="none" w:sz="0" w:space="0" w:color="auto"/>
          </w:divBdr>
        </w:div>
        <w:div w:id="882909718">
          <w:marLeft w:val="1166"/>
          <w:marRight w:val="0"/>
          <w:marTop w:val="96"/>
          <w:marBottom w:val="0"/>
          <w:divBdr>
            <w:top w:val="none" w:sz="0" w:space="0" w:color="auto"/>
            <w:left w:val="none" w:sz="0" w:space="0" w:color="auto"/>
            <w:bottom w:val="none" w:sz="0" w:space="0" w:color="auto"/>
            <w:right w:val="none" w:sz="0" w:space="0" w:color="auto"/>
          </w:divBdr>
        </w:div>
        <w:div w:id="945965285">
          <w:marLeft w:val="1800"/>
          <w:marRight w:val="0"/>
          <w:marTop w:val="77"/>
          <w:marBottom w:val="0"/>
          <w:divBdr>
            <w:top w:val="none" w:sz="0" w:space="0" w:color="auto"/>
            <w:left w:val="none" w:sz="0" w:space="0" w:color="auto"/>
            <w:bottom w:val="none" w:sz="0" w:space="0" w:color="auto"/>
            <w:right w:val="none" w:sz="0" w:space="0" w:color="auto"/>
          </w:divBdr>
        </w:div>
        <w:div w:id="1117065032">
          <w:marLeft w:val="1166"/>
          <w:marRight w:val="0"/>
          <w:marTop w:val="96"/>
          <w:marBottom w:val="0"/>
          <w:divBdr>
            <w:top w:val="none" w:sz="0" w:space="0" w:color="auto"/>
            <w:left w:val="none" w:sz="0" w:space="0" w:color="auto"/>
            <w:bottom w:val="none" w:sz="0" w:space="0" w:color="auto"/>
            <w:right w:val="none" w:sz="0" w:space="0" w:color="auto"/>
          </w:divBdr>
        </w:div>
        <w:div w:id="2123722397">
          <w:marLeft w:val="547"/>
          <w:marRight w:val="0"/>
          <w:marTop w:val="115"/>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7691513">
      <w:bodyDiv w:val="1"/>
      <w:marLeft w:val="0"/>
      <w:marRight w:val="0"/>
      <w:marTop w:val="0"/>
      <w:marBottom w:val="0"/>
      <w:divBdr>
        <w:top w:val="none" w:sz="0" w:space="0" w:color="auto"/>
        <w:left w:val="none" w:sz="0" w:space="0" w:color="auto"/>
        <w:bottom w:val="none" w:sz="0" w:space="0" w:color="auto"/>
        <w:right w:val="none" w:sz="0" w:space="0" w:color="auto"/>
      </w:divBdr>
      <w:divsChild>
        <w:div w:id="291904847">
          <w:marLeft w:val="1166"/>
          <w:marRight w:val="0"/>
          <w:marTop w:val="86"/>
          <w:marBottom w:val="0"/>
          <w:divBdr>
            <w:top w:val="none" w:sz="0" w:space="0" w:color="auto"/>
            <w:left w:val="none" w:sz="0" w:space="0" w:color="auto"/>
            <w:bottom w:val="none" w:sz="0" w:space="0" w:color="auto"/>
            <w:right w:val="none" w:sz="0" w:space="0" w:color="auto"/>
          </w:divBdr>
        </w:div>
        <w:div w:id="383918652">
          <w:marLeft w:val="1166"/>
          <w:marRight w:val="0"/>
          <w:marTop w:val="86"/>
          <w:marBottom w:val="0"/>
          <w:divBdr>
            <w:top w:val="none" w:sz="0" w:space="0" w:color="auto"/>
            <w:left w:val="none" w:sz="0" w:space="0" w:color="auto"/>
            <w:bottom w:val="none" w:sz="0" w:space="0" w:color="auto"/>
            <w:right w:val="none" w:sz="0" w:space="0" w:color="auto"/>
          </w:divBdr>
        </w:div>
        <w:div w:id="446047559">
          <w:marLeft w:val="1166"/>
          <w:marRight w:val="0"/>
          <w:marTop w:val="86"/>
          <w:marBottom w:val="0"/>
          <w:divBdr>
            <w:top w:val="none" w:sz="0" w:space="0" w:color="auto"/>
            <w:left w:val="none" w:sz="0" w:space="0" w:color="auto"/>
            <w:bottom w:val="none" w:sz="0" w:space="0" w:color="auto"/>
            <w:right w:val="none" w:sz="0" w:space="0" w:color="auto"/>
          </w:divBdr>
        </w:div>
        <w:div w:id="676659599">
          <w:marLeft w:val="1800"/>
          <w:marRight w:val="0"/>
          <w:marTop w:val="72"/>
          <w:marBottom w:val="0"/>
          <w:divBdr>
            <w:top w:val="none" w:sz="0" w:space="0" w:color="auto"/>
            <w:left w:val="none" w:sz="0" w:space="0" w:color="auto"/>
            <w:bottom w:val="none" w:sz="0" w:space="0" w:color="auto"/>
            <w:right w:val="none" w:sz="0" w:space="0" w:color="auto"/>
          </w:divBdr>
        </w:div>
        <w:div w:id="1048995023">
          <w:marLeft w:val="1166"/>
          <w:marRight w:val="0"/>
          <w:marTop w:val="86"/>
          <w:marBottom w:val="0"/>
          <w:divBdr>
            <w:top w:val="none" w:sz="0" w:space="0" w:color="auto"/>
            <w:left w:val="none" w:sz="0" w:space="0" w:color="auto"/>
            <w:bottom w:val="none" w:sz="0" w:space="0" w:color="auto"/>
            <w:right w:val="none" w:sz="0" w:space="0" w:color="auto"/>
          </w:divBdr>
        </w:div>
        <w:div w:id="1086993832">
          <w:marLeft w:val="547"/>
          <w:marRight w:val="0"/>
          <w:marTop w:val="96"/>
          <w:marBottom w:val="0"/>
          <w:divBdr>
            <w:top w:val="none" w:sz="0" w:space="0" w:color="auto"/>
            <w:left w:val="none" w:sz="0" w:space="0" w:color="auto"/>
            <w:bottom w:val="none" w:sz="0" w:space="0" w:color="auto"/>
            <w:right w:val="none" w:sz="0" w:space="0" w:color="auto"/>
          </w:divBdr>
        </w:div>
        <w:div w:id="1106535107">
          <w:marLeft w:val="547"/>
          <w:marRight w:val="0"/>
          <w:marTop w:val="96"/>
          <w:marBottom w:val="0"/>
          <w:divBdr>
            <w:top w:val="none" w:sz="0" w:space="0" w:color="auto"/>
            <w:left w:val="none" w:sz="0" w:space="0" w:color="auto"/>
            <w:bottom w:val="none" w:sz="0" w:space="0" w:color="auto"/>
            <w:right w:val="none" w:sz="0" w:space="0" w:color="auto"/>
          </w:divBdr>
        </w:div>
        <w:div w:id="1134562736">
          <w:marLeft w:val="547"/>
          <w:marRight w:val="0"/>
          <w:marTop w:val="96"/>
          <w:marBottom w:val="0"/>
          <w:divBdr>
            <w:top w:val="none" w:sz="0" w:space="0" w:color="auto"/>
            <w:left w:val="none" w:sz="0" w:space="0" w:color="auto"/>
            <w:bottom w:val="none" w:sz="0" w:space="0" w:color="auto"/>
            <w:right w:val="none" w:sz="0" w:space="0" w:color="auto"/>
          </w:divBdr>
        </w:div>
        <w:div w:id="1239824934">
          <w:marLeft w:val="1166"/>
          <w:marRight w:val="0"/>
          <w:marTop w:val="86"/>
          <w:marBottom w:val="0"/>
          <w:divBdr>
            <w:top w:val="none" w:sz="0" w:space="0" w:color="auto"/>
            <w:left w:val="none" w:sz="0" w:space="0" w:color="auto"/>
            <w:bottom w:val="none" w:sz="0" w:space="0" w:color="auto"/>
            <w:right w:val="none" w:sz="0" w:space="0" w:color="auto"/>
          </w:divBdr>
        </w:div>
        <w:div w:id="1315719577">
          <w:marLeft w:val="1166"/>
          <w:marRight w:val="0"/>
          <w:marTop w:val="86"/>
          <w:marBottom w:val="0"/>
          <w:divBdr>
            <w:top w:val="none" w:sz="0" w:space="0" w:color="auto"/>
            <w:left w:val="none" w:sz="0" w:space="0" w:color="auto"/>
            <w:bottom w:val="none" w:sz="0" w:space="0" w:color="auto"/>
            <w:right w:val="none" w:sz="0" w:space="0" w:color="auto"/>
          </w:divBdr>
        </w:div>
        <w:div w:id="1541430107">
          <w:marLeft w:val="547"/>
          <w:marRight w:val="0"/>
          <w:marTop w:val="96"/>
          <w:marBottom w:val="0"/>
          <w:divBdr>
            <w:top w:val="none" w:sz="0" w:space="0" w:color="auto"/>
            <w:left w:val="none" w:sz="0" w:space="0" w:color="auto"/>
            <w:bottom w:val="none" w:sz="0" w:space="0" w:color="auto"/>
            <w:right w:val="none" w:sz="0" w:space="0" w:color="auto"/>
          </w:divBdr>
        </w:div>
        <w:div w:id="1544708159">
          <w:marLeft w:val="1166"/>
          <w:marRight w:val="0"/>
          <w:marTop w:val="86"/>
          <w:marBottom w:val="0"/>
          <w:divBdr>
            <w:top w:val="none" w:sz="0" w:space="0" w:color="auto"/>
            <w:left w:val="none" w:sz="0" w:space="0" w:color="auto"/>
            <w:bottom w:val="none" w:sz="0" w:space="0" w:color="auto"/>
            <w:right w:val="none" w:sz="0" w:space="0" w:color="auto"/>
          </w:divBdr>
        </w:div>
        <w:div w:id="1599560409">
          <w:marLeft w:val="1800"/>
          <w:marRight w:val="0"/>
          <w:marTop w:val="72"/>
          <w:marBottom w:val="0"/>
          <w:divBdr>
            <w:top w:val="none" w:sz="0" w:space="0" w:color="auto"/>
            <w:left w:val="none" w:sz="0" w:space="0" w:color="auto"/>
            <w:bottom w:val="none" w:sz="0" w:space="0" w:color="auto"/>
            <w:right w:val="none" w:sz="0" w:space="0" w:color="auto"/>
          </w:divBdr>
        </w:div>
        <w:div w:id="1714039535">
          <w:marLeft w:val="547"/>
          <w:marRight w:val="0"/>
          <w:marTop w:val="96"/>
          <w:marBottom w:val="0"/>
          <w:divBdr>
            <w:top w:val="none" w:sz="0" w:space="0" w:color="auto"/>
            <w:left w:val="none" w:sz="0" w:space="0" w:color="auto"/>
            <w:bottom w:val="none" w:sz="0" w:space="0" w:color="auto"/>
            <w:right w:val="none" w:sz="0" w:space="0" w:color="auto"/>
          </w:divBdr>
        </w:div>
        <w:div w:id="1865049195">
          <w:marLeft w:val="1166"/>
          <w:marRight w:val="0"/>
          <w:marTop w:val="86"/>
          <w:marBottom w:val="0"/>
          <w:divBdr>
            <w:top w:val="none" w:sz="0" w:space="0" w:color="auto"/>
            <w:left w:val="none" w:sz="0" w:space="0" w:color="auto"/>
            <w:bottom w:val="none" w:sz="0" w:space="0" w:color="auto"/>
            <w:right w:val="none" w:sz="0" w:space="0" w:color="auto"/>
          </w:divBdr>
        </w:div>
        <w:div w:id="2013290011">
          <w:marLeft w:val="1166"/>
          <w:marRight w:val="0"/>
          <w:marTop w:val="86"/>
          <w:marBottom w:val="0"/>
          <w:divBdr>
            <w:top w:val="none" w:sz="0" w:space="0" w:color="auto"/>
            <w:left w:val="none" w:sz="0" w:space="0" w:color="auto"/>
            <w:bottom w:val="none" w:sz="0" w:space="0" w:color="auto"/>
            <w:right w:val="none" w:sz="0" w:space="0" w:color="auto"/>
          </w:divBdr>
        </w:div>
      </w:divsChild>
    </w:div>
    <w:div w:id="1952737118">
      <w:bodyDiv w:val="1"/>
      <w:marLeft w:val="0"/>
      <w:marRight w:val="0"/>
      <w:marTop w:val="0"/>
      <w:marBottom w:val="0"/>
      <w:divBdr>
        <w:top w:val="none" w:sz="0" w:space="0" w:color="auto"/>
        <w:left w:val="none" w:sz="0" w:space="0" w:color="auto"/>
        <w:bottom w:val="none" w:sz="0" w:space="0" w:color="auto"/>
        <w:right w:val="none" w:sz="0" w:space="0" w:color="auto"/>
      </w:divBdr>
      <w:divsChild>
        <w:div w:id="150100751">
          <w:marLeft w:val="547"/>
          <w:marRight w:val="0"/>
          <w:marTop w:val="96"/>
          <w:marBottom w:val="0"/>
          <w:divBdr>
            <w:top w:val="none" w:sz="0" w:space="0" w:color="auto"/>
            <w:left w:val="none" w:sz="0" w:space="0" w:color="auto"/>
            <w:bottom w:val="none" w:sz="0" w:space="0" w:color="auto"/>
            <w:right w:val="none" w:sz="0" w:space="0" w:color="auto"/>
          </w:divBdr>
        </w:div>
        <w:div w:id="214855471">
          <w:marLeft w:val="1166"/>
          <w:marRight w:val="0"/>
          <w:marTop w:val="86"/>
          <w:marBottom w:val="0"/>
          <w:divBdr>
            <w:top w:val="none" w:sz="0" w:space="0" w:color="auto"/>
            <w:left w:val="none" w:sz="0" w:space="0" w:color="auto"/>
            <w:bottom w:val="none" w:sz="0" w:space="0" w:color="auto"/>
            <w:right w:val="none" w:sz="0" w:space="0" w:color="auto"/>
          </w:divBdr>
        </w:div>
        <w:div w:id="289484109">
          <w:marLeft w:val="547"/>
          <w:marRight w:val="0"/>
          <w:marTop w:val="96"/>
          <w:marBottom w:val="0"/>
          <w:divBdr>
            <w:top w:val="none" w:sz="0" w:space="0" w:color="auto"/>
            <w:left w:val="none" w:sz="0" w:space="0" w:color="auto"/>
            <w:bottom w:val="none" w:sz="0" w:space="0" w:color="auto"/>
            <w:right w:val="none" w:sz="0" w:space="0" w:color="auto"/>
          </w:divBdr>
        </w:div>
        <w:div w:id="363292921">
          <w:marLeft w:val="1166"/>
          <w:marRight w:val="0"/>
          <w:marTop w:val="86"/>
          <w:marBottom w:val="0"/>
          <w:divBdr>
            <w:top w:val="none" w:sz="0" w:space="0" w:color="auto"/>
            <w:left w:val="none" w:sz="0" w:space="0" w:color="auto"/>
            <w:bottom w:val="none" w:sz="0" w:space="0" w:color="auto"/>
            <w:right w:val="none" w:sz="0" w:space="0" w:color="auto"/>
          </w:divBdr>
        </w:div>
        <w:div w:id="541787296">
          <w:marLeft w:val="1800"/>
          <w:marRight w:val="0"/>
          <w:marTop w:val="72"/>
          <w:marBottom w:val="0"/>
          <w:divBdr>
            <w:top w:val="none" w:sz="0" w:space="0" w:color="auto"/>
            <w:left w:val="none" w:sz="0" w:space="0" w:color="auto"/>
            <w:bottom w:val="none" w:sz="0" w:space="0" w:color="auto"/>
            <w:right w:val="none" w:sz="0" w:space="0" w:color="auto"/>
          </w:divBdr>
        </w:div>
        <w:div w:id="604654860">
          <w:marLeft w:val="1166"/>
          <w:marRight w:val="0"/>
          <w:marTop w:val="86"/>
          <w:marBottom w:val="0"/>
          <w:divBdr>
            <w:top w:val="none" w:sz="0" w:space="0" w:color="auto"/>
            <w:left w:val="none" w:sz="0" w:space="0" w:color="auto"/>
            <w:bottom w:val="none" w:sz="0" w:space="0" w:color="auto"/>
            <w:right w:val="none" w:sz="0" w:space="0" w:color="auto"/>
          </w:divBdr>
        </w:div>
        <w:div w:id="630986824">
          <w:marLeft w:val="547"/>
          <w:marRight w:val="0"/>
          <w:marTop w:val="96"/>
          <w:marBottom w:val="0"/>
          <w:divBdr>
            <w:top w:val="none" w:sz="0" w:space="0" w:color="auto"/>
            <w:left w:val="none" w:sz="0" w:space="0" w:color="auto"/>
            <w:bottom w:val="none" w:sz="0" w:space="0" w:color="auto"/>
            <w:right w:val="none" w:sz="0" w:space="0" w:color="auto"/>
          </w:divBdr>
        </w:div>
        <w:div w:id="652564229">
          <w:marLeft w:val="547"/>
          <w:marRight w:val="0"/>
          <w:marTop w:val="96"/>
          <w:marBottom w:val="0"/>
          <w:divBdr>
            <w:top w:val="none" w:sz="0" w:space="0" w:color="auto"/>
            <w:left w:val="none" w:sz="0" w:space="0" w:color="auto"/>
            <w:bottom w:val="none" w:sz="0" w:space="0" w:color="auto"/>
            <w:right w:val="none" w:sz="0" w:space="0" w:color="auto"/>
          </w:divBdr>
        </w:div>
        <w:div w:id="976641732">
          <w:marLeft w:val="1166"/>
          <w:marRight w:val="0"/>
          <w:marTop w:val="86"/>
          <w:marBottom w:val="0"/>
          <w:divBdr>
            <w:top w:val="none" w:sz="0" w:space="0" w:color="auto"/>
            <w:left w:val="none" w:sz="0" w:space="0" w:color="auto"/>
            <w:bottom w:val="none" w:sz="0" w:space="0" w:color="auto"/>
            <w:right w:val="none" w:sz="0" w:space="0" w:color="auto"/>
          </w:divBdr>
        </w:div>
        <w:div w:id="1028602407">
          <w:marLeft w:val="1166"/>
          <w:marRight w:val="0"/>
          <w:marTop w:val="86"/>
          <w:marBottom w:val="0"/>
          <w:divBdr>
            <w:top w:val="none" w:sz="0" w:space="0" w:color="auto"/>
            <w:left w:val="none" w:sz="0" w:space="0" w:color="auto"/>
            <w:bottom w:val="none" w:sz="0" w:space="0" w:color="auto"/>
            <w:right w:val="none" w:sz="0" w:space="0" w:color="auto"/>
          </w:divBdr>
        </w:div>
        <w:div w:id="1083063318">
          <w:marLeft w:val="1166"/>
          <w:marRight w:val="0"/>
          <w:marTop w:val="86"/>
          <w:marBottom w:val="0"/>
          <w:divBdr>
            <w:top w:val="none" w:sz="0" w:space="0" w:color="auto"/>
            <w:left w:val="none" w:sz="0" w:space="0" w:color="auto"/>
            <w:bottom w:val="none" w:sz="0" w:space="0" w:color="auto"/>
            <w:right w:val="none" w:sz="0" w:space="0" w:color="auto"/>
          </w:divBdr>
        </w:div>
        <w:div w:id="1224605771">
          <w:marLeft w:val="1166"/>
          <w:marRight w:val="0"/>
          <w:marTop w:val="86"/>
          <w:marBottom w:val="0"/>
          <w:divBdr>
            <w:top w:val="none" w:sz="0" w:space="0" w:color="auto"/>
            <w:left w:val="none" w:sz="0" w:space="0" w:color="auto"/>
            <w:bottom w:val="none" w:sz="0" w:space="0" w:color="auto"/>
            <w:right w:val="none" w:sz="0" w:space="0" w:color="auto"/>
          </w:divBdr>
        </w:div>
        <w:div w:id="1310553350">
          <w:marLeft w:val="1166"/>
          <w:marRight w:val="0"/>
          <w:marTop w:val="86"/>
          <w:marBottom w:val="0"/>
          <w:divBdr>
            <w:top w:val="none" w:sz="0" w:space="0" w:color="auto"/>
            <w:left w:val="none" w:sz="0" w:space="0" w:color="auto"/>
            <w:bottom w:val="none" w:sz="0" w:space="0" w:color="auto"/>
            <w:right w:val="none" w:sz="0" w:space="0" w:color="auto"/>
          </w:divBdr>
        </w:div>
        <w:div w:id="1681616949">
          <w:marLeft w:val="1166"/>
          <w:marRight w:val="0"/>
          <w:marTop w:val="86"/>
          <w:marBottom w:val="0"/>
          <w:divBdr>
            <w:top w:val="none" w:sz="0" w:space="0" w:color="auto"/>
            <w:left w:val="none" w:sz="0" w:space="0" w:color="auto"/>
            <w:bottom w:val="none" w:sz="0" w:space="0" w:color="auto"/>
            <w:right w:val="none" w:sz="0" w:space="0" w:color="auto"/>
          </w:divBdr>
        </w:div>
        <w:div w:id="2017148085">
          <w:marLeft w:val="1800"/>
          <w:marRight w:val="0"/>
          <w:marTop w:val="72"/>
          <w:marBottom w:val="0"/>
          <w:divBdr>
            <w:top w:val="none" w:sz="0" w:space="0" w:color="auto"/>
            <w:left w:val="none" w:sz="0" w:space="0" w:color="auto"/>
            <w:bottom w:val="none" w:sz="0" w:space="0" w:color="auto"/>
            <w:right w:val="none" w:sz="0" w:space="0" w:color="auto"/>
          </w:divBdr>
        </w:div>
        <w:div w:id="2032025975">
          <w:marLeft w:val="547"/>
          <w:marRight w:val="0"/>
          <w:marTop w:val="96"/>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2001604">
      <w:bodyDiv w:val="1"/>
      <w:marLeft w:val="0"/>
      <w:marRight w:val="0"/>
      <w:marTop w:val="0"/>
      <w:marBottom w:val="0"/>
      <w:divBdr>
        <w:top w:val="none" w:sz="0" w:space="0" w:color="auto"/>
        <w:left w:val="none" w:sz="0" w:space="0" w:color="auto"/>
        <w:bottom w:val="none" w:sz="0" w:space="0" w:color="auto"/>
        <w:right w:val="none" w:sz="0" w:space="0" w:color="auto"/>
      </w:divBdr>
      <w:divsChild>
        <w:div w:id="596909906">
          <w:marLeft w:val="1440"/>
          <w:marRight w:val="0"/>
          <w:marTop w:val="120"/>
          <w:marBottom w:val="0"/>
          <w:divBdr>
            <w:top w:val="none" w:sz="0" w:space="0" w:color="auto"/>
            <w:left w:val="none" w:sz="0" w:space="0" w:color="auto"/>
            <w:bottom w:val="none" w:sz="0" w:space="0" w:color="auto"/>
            <w:right w:val="none" w:sz="0" w:space="0" w:color="auto"/>
          </w:divBdr>
        </w:div>
        <w:div w:id="1422409926">
          <w:marLeft w:val="1440"/>
          <w:marRight w:val="0"/>
          <w:marTop w:val="120"/>
          <w:marBottom w:val="0"/>
          <w:divBdr>
            <w:top w:val="none" w:sz="0" w:space="0" w:color="auto"/>
            <w:left w:val="none" w:sz="0" w:space="0" w:color="auto"/>
            <w:bottom w:val="none" w:sz="0" w:space="0" w:color="auto"/>
            <w:right w:val="none" w:sz="0" w:space="0" w:color="auto"/>
          </w:divBdr>
        </w:div>
        <w:div w:id="1629242748">
          <w:marLeft w:val="1008"/>
          <w:marRight w:val="0"/>
          <w:marTop w:val="120"/>
          <w:marBottom w:val="0"/>
          <w:divBdr>
            <w:top w:val="none" w:sz="0" w:space="0" w:color="auto"/>
            <w:left w:val="none" w:sz="0" w:space="0" w:color="auto"/>
            <w:bottom w:val="none" w:sz="0" w:space="0" w:color="auto"/>
            <w:right w:val="none" w:sz="0" w:space="0" w:color="auto"/>
          </w:divBdr>
        </w:div>
        <w:div w:id="1696349516">
          <w:marLeft w:val="1008"/>
          <w:marRight w:val="0"/>
          <w:marTop w:val="120"/>
          <w:marBottom w:val="0"/>
          <w:divBdr>
            <w:top w:val="none" w:sz="0" w:space="0" w:color="auto"/>
            <w:left w:val="none" w:sz="0" w:space="0" w:color="auto"/>
            <w:bottom w:val="none" w:sz="0" w:space="0" w:color="auto"/>
            <w:right w:val="none" w:sz="0" w:space="0" w:color="auto"/>
          </w:divBdr>
        </w:div>
        <w:div w:id="2022781080">
          <w:marLeft w:val="1008"/>
          <w:marRight w:val="0"/>
          <w:marTop w:val="120"/>
          <w:marBottom w:val="0"/>
          <w:divBdr>
            <w:top w:val="none" w:sz="0" w:space="0" w:color="auto"/>
            <w:left w:val="none" w:sz="0" w:space="0" w:color="auto"/>
            <w:bottom w:val="none" w:sz="0" w:space="0" w:color="auto"/>
            <w:right w:val="none" w:sz="0" w:space="0" w:color="auto"/>
          </w:divBdr>
        </w:div>
      </w:divsChild>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3066639">
      <w:bodyDiv w:val="1"/>
      <w:marLeft w:val="0"/>
      <w:marRight w:val="0"/>
      <w:marTop w:val="0"/>
      <w:marBottom w:val="0"/>
      <w:divBdr>
        <w:top w:val="none" w:sz="0" w:space="0" w:color="auto"/>
        <w:left w:val="none" w:sz="0" w:space="0" w:color="auto"/>
        <w:bottom w:val="none" w:sz="0" w:space="0" w:color="auto"/>
        <w:right w:val="none" w:sz="0" w:space="0" w:color="auto"/>
      </w:divBdr>
    </w:div>
    <w:div w:id="2104917142">
      <w:bodyDiv w:val="1"/>
      <w:marLeft w:val="0"/>
      <w:marRight w:val="0"/>
      <w:marTop w:val="0"/>
      <w:marBottom w:val="0"/>
      <w:divBdr>
        <w:top w:val="none" w:sz="0" w:space="0" w:color="auto"/>
        <w:left w:val="none" w:sz="0" w:space="0" w:color="auto"/>
        <w:bottom w:val="none" w:sz="0" w:space="0" w:color="auto"/>
        <w:right w:val="none" w:sz="0" w:space="0" w:color="auto"/>
      </w:divBdr>
      <w:divsChild>
        <w:div w:id="168839352">
          <w:marLeft w:val="3240"/>
          <w:marRight w:val="0"/>
          <w:marTop w:val="67"/>
          <w:marBottom w:val="0"/>
          <w:divBdr>
            <w:top w:val="none" w:sz="0" w:space="0" w:color="auto"/>
            <w:left w:val="none" w:sz="0" w:space="0" w:color="auto"/>
            <w:bottom w:val="none" w:sz="0" w:space="0" w:color="auto"/>
            <w:right w:val="none" w:sz="0" w:space="0" w:color="auto"/>
          </w:divBdr>
        </w:div>
        <w:div w:id="612055527">
          <w:marLeft w:val="2160"/>
          <w:marRight w:val="0"/>
          <w:marTop w:val="86"/>
          <w:marBottom w:val="0"/>
          <w:divBdr>
            <w:top w:val="none" w:sz="0" w:space="0" w:color="auto"/>
            <w:left w:val="none" w:sz="0" w:space="0" w:color="auto"/>
            <w:bottom w:val="none" w:sz="0" w:space="0" w:color="auto"/>
            <w:right w:val="none" w:sz="0" w:space="0" w:color="auto"/>
          </w:divBdr>
        </w:div>
        <w:div w:id="742752174">
          <w:marLeft w:val="547"/>
          <w:marRight w:val="0"/>
          <w:marTop w:val="77"/>
          <w:marBottom w:val="0"/>
          <w:divBdr>
            <w:top w:val="none" w:sz="0" w:space="0" w:color="auto"/>
            <w:left w:val="none" w:sz="0" w:space="0" w:color="auto"/>
            <w:bottom w:val="none" w:sz="0" w:space="0" w:color="auto"/>
            <w:right w:val="none" w:sz="0" w:space="0" w:color="auto"/>
          </w:divBdr>
        </w:div>
        <w:div w:id="979847773">
          <w:marLeft w:val="2520"/>
          <w:marRight w:val="0"/>
          <w:marTop w:val="77"/>
          <w:marBottom w:val="0"/>
          <w:divBdr>
            <w:top w:val="none" w:sz="0" w:space="0" w:color="auto"/>
            <w:left w:val="none" w:sz="0" w:space="0" w:color="auto"/>
            <w:bottom w:val="none" w:sz="0" w:space="0" w:color="auto"/>
            <w:right w:val="none" w:sz="0" w:space="0" w:color="auto"/>
          </w:divBdr>
        </w:div>
        <w:div w:id="1068959032">
          <w:marLeft w:val="2520"/>
          <w:marRight w:val="0"/>
          <w:marTop w:val="77"/>
          <w:marBottom w:val="0"/>
          <w:divBdr>
            <w:top w:val="none" w:sz="0" w:space="0" w:color="auto"/>
            <w:left w:val="none" w:sz="0" w:space="0" w:color="auto"/>
            <w:bottom w:val="none" w:sz="0" w:space="0" w:color="auto"/>
            <w:right w:val="none" w:sz="0" w:space="0" w:color="auto"/>
          </w:divBdr>
        </w:div>
        <w:div w:id="1237208683">
          <w:marLeft w:val="1166"/>
          <w:marRight w:val="0"/>
          <w:marTop w:val="86"/>
          <w:marBottom w:val="0"/>
          <w:divBdr>
            <w:top w:val="none" w:sz="0" w:space="0" w:color="auto"/>
            <w:left w:val="none" w:sz="0" w:space="0" w:color="auto"/>
            <w:bottom w:val="none" w:sz="0" w:space="0" w:color="auto"/>
            <w:right w:val="none" w:sz="0" w:space="0" w:color="auto"/>
          </w:divBdr>
        </w:div>
        <w:div w:id="1506165934">
          <w:marLeft w:val="1166"/>
          <w:marRight w:val="0"/>
          <w:marTop w:val="86"/>
          <w:marBottom w:val="0"/>
          <w:divBdr>
            <w:top w:val="none" w:sz="0" w:space="0" w:color="auto"/>
            <w:left w:val="none" w:sz="0" w:space="0" w:color="auto"/>
            <w:bottom w:val="none" w:sz="0" w:space="0" w:color="auto"/>
            <w:right w:val="none" w:sz="0" w:space="0" w:color="auto"/>
          </w:divBdr>
        </w:div>
        <w:div w:id="1556505398">
          <w:marLeft w:val="2520"/>
          <w:marRight w:val="0"/>
          <w:marTop w:val="77"/>
          <w:marBottom w:val="0"/>
          <w:divBdr>
            <w:top w:val="none" w:sz="0" w:space="0" w:color="auto"/>
            <w:left w:val="none" w:sz="0" w:space="0" w:color="auto"/>
            <w:bottom w:val="none" w:sz="0" w:space="0" w:color="auto"/>
            <w:right w:val="none" w:sz="0" w:space="0" w:color="auto"/>
          </w:divBdr>
        </w:div>
        <w:div w:id="2049603582">
          <w:marLeft w:val="3240"/>
          <w:marRight w:val="0"/>
          <w:marTop w:val="67"/>
          <w:marBottom w:val="0"/>
          <w:divBdr>
            <w:top w:val="none" w:sz="0" w:space="0" w:color="auto"/>
            <w:left w:val="none" w:sz="0" w:space="0" w:color="auto"/>
            <w:bottom w:val="none" w:sz="0" w:space="0" w:color="auto"/>
            <w:right w:val="none" w:sz="0" w:space="0" w:color="auto"/>
          </w:divBdr>
        </w:div>
        <w:div w:id="2082867781">
          <w:marLeft w:val="2160"/>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446368-5F2E-487D-A66A-B350A539F4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321</TotalTime>
  <Pages>10</Pages>
  <Words>4538</Words>
  <Characters>25867</Characters>
  <Application>Microsoft Office Word</Application>
  <DocSecurity>0</DocSecurity>
  <Lines>215</Lines>
  <Paragraphs>60</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30345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Qualcomm</dc:creator>
  <cp:keywords/>
  <dc:description/>
  <cp:lastModifiedBy>Arash Mirbagheri</cp:lastModifiedBy>
  <cp:revision>14</cp:revision>
  <cp:lastPrinted>2009-04-22T21:01:00Z</cp:lastPrinted>
  <dcterms:created xsi:type="dcterms:W3CDTF">2019-09-20T17:36:00Z</dcterms:created>
  <dcterms:modified xsi:type="dcterms:W3CDTF">2019-10-04T21:44:00Z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000000004BA4757657D91F41910C5AAB2192943607002147AB0F3266FD449D5C13AF8B3A41F3000000080DC80000665ECB8DD3C40946956D0122B54632B200044A9F68F30000</vt:lpwstr>
  </property>
  <property fmtid="{D5CDD505-2E9C-101B-9397-08002B2CF9AE}" pid="8" name="_EmailStoreID0">
    <vt:lpwstr>0000000038A1BB1005E5101AA1BB08002B2A56C20000454D534D44422E444C4C00000000000000001B55FA20AA6611CD9BC800AA002FC45A0C0000006E616C617365786D623034002F6F3D5175616C636F6D6D2F6F753D53616E20446965676F2041646D696E2047726F75702F636E3D526563697069656E74732F636E3D746</vt:lpwstr>
  </property>
  <property fmtid="{D5CDD505-2E9C-101B-9397-08002B2CF9AE}" pid="9" name="_EmailStoreID1">
    <vt:lpwstr>A6900D83521F3B800000001000000140000007E0000002F6F3D5175616C636F6D6D2F6F753D45786368616E67652041646D696E6973747261746976652047726F7570202846594449424F484632335350444C54292F636E3D436F6E66696775726174696F6E2F636E3D536572766572732F636E3D6E616C617365786D623034</vt:lpwstr>
  </property>
  <property fmtid="{D5CDD505-2E9C-101B-9397-08002B2CF9AE}" pid="10" name="_EmailStoreID2">
    <vt:lpwstr>004E0041004C0041005300450058004D004200300034002E006E0061002E007100750061006C0063006F006D006D002E0063006F006D0000000000</vt:lpwstr>
  </property>
  <property fmtid="{D5CDD505-2E9C-101B-9397-08002B2CF9AE}" pid="11" name="_ReviewingToolsShownOnce">
    <vt:lpwstr/>
  </property>
</Properties>
</file>